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1D8" w:rsidRPr="006B71D8" w:rsidRDefault="006B71D8" w:rsidP="00FA73E5">
      <w:pPr>
        <w:shd w:val="clear" w:color="auto" w:fill="FFFFFE"/>
        <w:spacing w:line="240" w:lineRule="auto"/>
        <w:jc w:val="center"/>
        <w:rPr>
          <w:rFonts w:eastAsia="Times New Roman"/>
          <w:color w:val="000000" w:themeColor="text1"/>
          <w:szCs w:val="24"/>
          <w:lang w:eastAsia="es-CO"/>
        </w:rPr>
      </w:pPr>
      <w:r w:rsidRPr="006B71D8">
        <w:rPr>
          <w:rFonts w:eastAsia="Times New Roman"/>
          <w:b/>
          <w:color w:val="000000" w:themeColor="text1"/>
          <w:szCs w:val="24"/>
          <w:shd w:val="clear" w:color="auto" w:fill="FFFFFE"/>
          <w:lang w:eastAsia="es-CO"/>
        </w:rPr>
        <w:t>OFICIO N° 064367</w:t>
      </w:r>
    </w:p>
    <w:p w:rsidR="006B71D8" w:rsidRPr="006B71D8" w:rsidRDefault="006B71D8" w:rsidP="00FA73E5">
      <w:pPr>
        <w:shd w:val="clear" w:color="auto" w:fill="FFFFFE"/>
        <w:spacing w:line="240" w:lineRule="auto"/>
        <w:jc w:val="center"/>
        <w:rPr>
          <w:rFonts w:eastAsia="Times New Roman"/>
          <w:color w:val="000000" w:themeColor="text1"/>
          <w:szCs w:val="24"/>
          <w:lang w:eastAsia="es-CO"/>
        </w:rPr>
      </w:pPr>
      <w:r w:rsidRPr="006B71D8">
        <w:rPr>
          <w:rFonts w:eastAsia="Times New Roman"/>
          <w:b/>
          <w:color w:val="000000" w:themeColor="text1"/>
          <w:szCs w:val="24"/>
          <w:shd w:val="clear" w:color="auto" w:fill="FFFFFE"/>
          <w:lang w:eastAsia="es-CO"/>
        </w:rPr>
        <w:t>27-11-2014</w:t>
      </w:r>
    </w:p>
    <w:p w:rsidR="006B71D8" w:rsidRPr="006B71D8" w:rsidRDefault="006B71D8" w:rsidP="00FA73E5">
      <w:pPr>
        <w:shd w:val="clear" w:color="auto" w:fill="FFFFFE"/>
        <w:spacing w:line="240" w:lineRule="auto"/>
        <w:jc w:val="center"/>
        <w:rPr>
          <w:rFonts w:eastAsia="Times New Roman"/>
          <w:color w:val="000000" w:themeColor="text1"/>
          <w:szCs w:val="24"/>
          <w:lang w:eastAsia="es-CO"/>
        </w:rPr>
      </w:pPr>
      <w:r w:rsidRPr="006B71D8">
        <w:rPr>
          <w:rFonts w:eastAsia="Times New Roman"/>
          <w:b/>
          <w:bCs/>
          <w:color w:val="000000" w:themeColor="text1"/>
          <w:szCs w:val="24"/>
          <w:shd w:val="clear" w:color="auto" w:fill="FFFFFE"/>
          <w:lang w:eastAsia="es-CO"/>
        </w:rPr>
        <w:t>DIAN</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b/>
          <w:color w:val="000000" w:themeColor="text1"/>
          <w:szCs w:val="24"/>
          <w:shd w:val="clear" w:color="auto" w:fill="FFFFFE"/>
          <w:lang w:eastAsia="es-CO"/>
        </w:rPr>
        <w:t> </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b/>
          <w:color w:val="000000" w:themeColor="text1"/>
          <w:szCs w:val="24"/>
          <w:shd w:val="clear" w:color="auto" w:fill="FFFFFE"/>
          <w:lang w:eastAsia="es-CO"/>
        </w:rPr>
        <w:t> </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Subdirección de Gestión Normativa y Doctrina</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Bogotá, D.C.</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100208221- 001347</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 </w:t>
      </w:r>
    </w:p>
    <w:p w:rsidR="006B71D8" w:rsidRPr="006B71D8" w:rsidRDefault="006B71D8" w:rsidP="00FA73E5">
      <w:pPr>
        <w:shd w:val="clear" w:color="auto" w:fill="FFFFFE"/>
        <w:spacing w:line="240" w:lineRule="auto"/>
        <w:rPr>
          <w:rFonts w:eastAsia="Times New Roman"/>
          <w:color w:val="000000" w:themeColor="text1"/>
          <w:szCs w:val="24"/>
          <w:lang w:eastAsia="es-CO"/>
        </w:rPr>
      </w:pPr>
      <w:proofErr w:type="spellStart"/>
      <w:r w:rsidRPr="006B71D8">
        <w:rPr>
          <w:rFonts w:eastAsia="Times New Roman"/>
          <w:b/>
          <w:color w:val="000000" w:themeColor="text1"/>
          <w:szCs w:val="24"/>
          <w:shd w:val="clear" w:color="auto" w:fill="FFFFFE"/>
          <w:lang w:eastAsia="es-CO"/>
        </w:rPr>
        <w:t>Ref</w:t>
      </w:r>
      <w:proofErr w:type="spellEnd"/>
      <w:r w:rsidRPr="006B71D8">
        <w:rPr>
          <w:rFonts w:eastAsia="Times New Roman"/>
          <w:b/>
          <w:color w:val="000000" w:themeColor="text1"/>
          <w:szCs w:val="24"/>
          <w:shd w:val="clear" w:color="auto" w:fill="FFFFFE"/>
          <w:lang w:eastAsia="es-CO"/>
        </w:rPr>
        <w:t>:</w:t>
      </w:r>
      <w:r w:rsidRPr="006B71D8">
        <w:rPr>
          <w:rFonts w:eastAsia="Times New Roman"/>
          <w:color w:val="000000" w:themeColor="text1"/>
          <w:szCs w:val="24"/>
          <w:shd w:val="clear" w:color="auto" w:fill="FFFFFE"/>
          <w:lang w:eastAsia="es-CO"/>
        </w:rPr>
        <w:t xml:space="preserve"> Radicado 60955 del 02/10/2014</w:t>
      </w:r>
    </w:p>
    <w:p w:rsidR="006B71D8" w:rsidRPr="006B71D8" w:rsidRDefault="006B71D8" w:rsidP="00FA73E5">
      <w:pPr>
        <w:spacing w:line="240" w:lineRule="auto"/>
        <w:rPr>
          <w:rFonts w:eastAsia="Times New Roman"/>
          <w:color w:val="000000" w:themeColor="text1"/>
          <w:szCs w:val="24"/>
          <w:lang w:eastAsia="es-CO"/>
        </w:rPr>
      </w:pPr>
      <w:r w:rsidRPr="006B71D8">
        <w:rPr>
          <w:rFonts w:eastAsia="Times New Roman"/>
          <w:color w:val="000000" w:themeColor="text1"/>
          <w:szCs w:val="24"/>
          <w:lang w:eastAsia="es-CO"/>
        </w:rPr>
        <w:t> </w:t>
      </w:r>
    </w:p>
    <w:p w:rsidR="006B71D8" w:rsidRPr="006B71D8" w:rsidRDefault="006B71D8" w:rsidP="00FA73E5">
      <w:pPr>
        <w:spacing w:line="240" w:lineRule="auto"/>
        <w:rPr>
          <w:rFonts w:eastAsia="Times New Roman"/>
          <w:color w:val="000000" w:themeColor="text1"/>
          <w:szCs w:val="24"/>
          <w:lang w:eastAsia="es-CO"/>
        </w:rPr>
      </w:pPr>
      <w:r w:rsidRPr="006B71D8">
        <w:rPr>
          <w:rFonts w:eastAsia="Times New Roman"/>
          <w:b/>
          <w:color w:val="000000" w:themeColor="text1"/>
          <w:szCs w:val="24"/>
          <w:shd w:val="clear" w:color="auto" w:fill="FFFFFE"/>
          <w:lang w:eastAsia="es-CO"/>
        </w:rPr>
        <w:t>Tema</w:t>
      </w:r>
      <w:r w:rsidRPr="006B71D8">
        <w:rPr>
          <w:rFonts w:eastAsia="Times New Roman"/>
          <w:color w:val="000000" w:themeColor="text1"/>
          <w:szCs w:val="24"/>
          <w:shd w:val="clear" w:color="auto" w:fill="FFFFFE"/>
          <w:lang w:eastAsia="es-CO"/>
        </w:rPr>
        <w:t xml:space="preserve"> Impuesto sobre la Renta y Complementarios</w:t>
      </w:r>
    </w:p>
    <w:p w:rsidR="006B71D8" w:rsidRPr="006B71D8" w:rsidRDefault="006B71D8" w:rsidP="00FA73E5">
      <w:pPr>
        <w:spacing w:line="240" w:lineRule="auto"/>
        <w:rPr>
          <w:rFonts w:eastAsia="Times New Roman"/>
          <w:color w:val="000000" w:themeColor="text1"/>
          <w:szCs w:val="24"/>
          <w:lang w:eastAsia="es-CO"/>
        </w:rPr>
      </w:pPr>
      <w:r w:rsidRPr="006B71D8">
        <w:rPr>
          <w:rFonts w:eastAsia="Times New Roman"/>
          <w:b/>
          <w:color w:val="000000" w:themeColor="text1"/>
          <w:szCs w:val="24"/>
          <w:shd w:val="clear" w:color="auto" w:fill="FFFFFE"/>
          <w:lang w:eastAsia="es-CO"/>
        </w:rPr>
        <w:t>Descriptores</w:t>
      </w:r>
      <w:r w:rsidRPr="006B71D8">
        <w:rPr>
          <w:rFonts w:eastAsia="Times New Roman"/>
          <w:color w:val="000000" w:themeColor="text1"/>
          <w:szCs w:val="24"/>
          <w:shd w:val="clear" w:color="auto" w:fill="FFFFFE"/>
          <w:lang w:eastAsia="es-CO"/>
        </w:rPr>
        <w:t xml:space="preserve"> CLASIFICACIÓN DE LAS PERSONAS NATURALES; IMPUESTO MÍNIMO ALTERNATIVO NACIONAL – IMAN; Costos y Deducciones</w:t>
      </w:r>
    </w:p>
    <w:p w:rsidR="006B71D8" w:rsidRDefault="006B71D8" w:rsidP="00FA73E5">
      <w:pPr>
        <w:shd w:val="clear" w:color="auto" w:fill="FFFFFE"/>
        <w:spacing w:line="240" w:lineRule="auto"/>
        <w:rPr>
          <w:rFonts w:eastAsia="Times New Roman"/>
          <w:b/>
          <w:color w:val="000000" w:themeColor="text1"/>
          <w:szCs w:val="24"/>
          <w:shd w:val="clear" w:color="auto" w:fill="FFFFFE"/>
          <w:lang w:eastAsia="es-CO"/>
        </w:rPr>
      </w:pP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b/>
          <w:color w:val="000000" w:themeColor="text1"/>
          <w:szCs w:val="24"/>
          <w:shd w:val="clear" w:color="auto" w:fill="FFFFFE"/>
          <w:lang w:eastAsia="es-CO"/>
        </w:rPr>
        <w:t>Fuentes formales</w:t>
      </w:r>
      <w:r w:rsidRPr="006B71D8">
        <w:rPr>
          <w:rFonts w:eastAsia="Times New Roman"/>
          <w:color w:val="000000" w:themeColor="text1"/>
          <w:szCs w:val="24"/>
          <w:shd w:val="clear" w:color="auto" w:fill="FFFFFE"/>
          <w:lang w:eastAsia="es-CO"/>
        </w:rPr>
        <w:t xml:space="preserve"> </w:t>
      </w:r>
      <w:r w:rsidRPr="006B71D8">
        <w:rPr>
          <w:rFonts w:eastAsia="Times New Roman"/>
          <w:color w:val="000000" w:themeColor="text1"/>
          <w:szCs w:val="24"/>
          <w:lang w:eastAsia="es-CO"/>
        </w:rPr>
        <w:t>Estatuto Tributario</w:t>
      </w:r>
      <w:r w:rsidRPr="006B71D8">
        <w:rPr>
          <w:rFonts w:eastAsia="Times New Roman"/>
          <w:color w:val="000000" w:themeColor="text1"/>
          <w:szCs w:val="24"/>
          <w:shd w:val="clear" w:color="auto" w:fill="FFFFFE"/>
          <w:lang w:eastAsia="es-CO"/>
        </w:rPr>
        <w:t xml:space="preserve"> artículos </w:t>
      </w:r>
      <w:hyperlink r:id="rId5" w:tooltip="Estatuto Tributario CETA" w:history="1">
        <w:r w:rsidRPr="006B71D8">
          <w:rPr>
            <w:rFonts w:eastAsia="Times New Roman"/>
            <w:color w:val="000000" w:themeColor="text1"/>
            <w:szCs w:val="24"/>
            <w:u w:val="single"/>
            <w:shd w:val="clear" w:color="auto" w:fill="FFFFFE"/>
            <w:lang w:eastAsia="es-CO"/>
          </w:rPr>
          <w:t>206</w:t>
        </w:r>
      </w:hyperlink>
      <w:r w:rsidRPr="006B71D8">
        <w:rPr>
          <w:rFonts w:eastAsia="Times New Roman"/>
          <w:color w:val="000000" w:themeColor="text1"/>
          <w:szCs w:val="24"/>
          <w:shd w:val="clear" w:color="auto" w:fill="FFFFFE"/>
          <w:lang w:eastAsia="es-CO"/>
        </w:rPr>
        <w:t xml:space="preserve">, </w:t>
      </w:r>
      <w:hyperlink r:id="rId6" w:tooltip="Estatuto Tributario CETA" w:history="1">
        <w:r w:rsidRPr="006B71D8">
          <w:rPr>
            <w:rFonts w:eastAsia="Times New Roman"/>
            <w:color w:val="000000" w:themeColor="text1"/>
            <w:szCs w:val="24"/>
            <w:u w:val="single"/>
            <w:shd w:val="clear" w:color="auto" w:fill="FFFFFE"/>
            <w:lang w:eastAsia="es-CO"/>
          </w:rPr>
          <w:t>329</w:t>
        </w:r>
      </w:hyperlink>
      <w:r w:rsidRPr="006B71D8">
        <w:rPr>
          <w:rFonts w:eastAsia="Times New Roman"/>
          <w:color w:val="000000" w:themeColor="text1"/>
          <w:szCs w:val="24"/>
          <w:shd w:val="clear" w:color="auto" w:fill="FFFFFE"/>
          <w:lang w:eastAsia="es-CO"/>
        </w:rPr>
        <w:t xml:space="preserve">, </w:t>
      </w:r>
      <w:hyperlink r:id="rId7" w:tooltip="Estatuto Tributario CETA" w:history="1">
        <w:r w:rsidRPr="006B71D8">
          <w:rPr>
            <w:rFonts w:eastAsia="Times New Roman"/>
            <w:color w:val="000000" w:themeColor="text1"/>
            <w:szCs w:val="24"/>
            <w:u w:val="single"/>
            <w:shd w:val="clear" w:color="auto" w:fill="FFFFFE"/>
            <w:lang w:eastAsia="es-CO"/>
          </w:rPr>
          <w:t>331</w:t>
        </w:r>
      </w:hyperlink>
      <w:r w:rsidRPr="006B71D8">
        <w:rPr>
          <w:rFonts w:eastAsia="Times New Roman"/>
          <w:color w:val="000000" w:themeColor="text1"/>
          <w:szCs w:val="24"/>
          <w:shd w:val="clear" w:color="auto" w:fill="FFFFFE"/>
          <w:lang w:eastAsia="es-CO"/>
        </w:rPr>
        <w:t xml:space="preserve">, </w:t>
      </w:r>
      <w:hyperlink r:id="rId8" w:tooltip="Estatuto Tributario CETA" w:history="1">
        <w:r w:rsidRPr="006B71D8">
          <w:rPr>
            <w:rFonts w:eastAsia="Times New Roman"/>
            <w:color w:val="000000" w:themeColor="text1"/>
            <w:szCs w:val="24"/>
            <w:u w:val="single"/>
            <w:shd w:val="clear" w:color="auto" w:fill="FFFFFE"/>
            <w:lang w:eastAsia="es-CO"/>
          </w:rPr>
          <w:t>332</w:t>
        </w:r>
      </w:hyperlink>
      <w:r w:rsidRPr="006B71D8">
        <w:rPr>
          <w:rFonts w:eastAsia="Times New Roman"/>
          <w:color w:val="000000" w:themeColor="text1"/>
          <w:szCs w:val="24"/>
          <w:shd w:val="clear" w:color="auto" w:fill="FFFFFE"/>
          <w:lang w:eastAsia="es-CO"/>
        </w:rPr>
        <w:t xml:space="preserve">; </w:t>
      </w:r>
      <w:r w:rsidRPr="006B71D8">
        <w:rPr>
          <w:rFonts w:eastAsia="Times New Roman"/>
          <w:color w:val="000000" w:themeColor="text1"/>
          <w:szCs w:val="24"/>
          <w:lang w:eastAsia="es-CO"/>
        </w:rPr>
        <w:t>Ley 1607 de 2012</w:t>
      </w:r>
      <w:r w:rsidRPr="006B71D8">
        <w:rPr>
          <w:rFonts w:eastAsia="Times New Roman"/>
          <w:color w:val="000000" w:themeColor="text1"/>
          <w:szCs w:val="24"/>
          <w:shd w:val="clear" w:color="auto" w:fill="FFFFFE"/>
          <w:lang w:eastAsia="es-CO"/>
        </w:rPr>
        <w:t xml:space="preserve"> artículo 10; Decreto 1070 de 2013 artículo 2°; </w:t>
      </w:r>
      <w:r w:rsidRPr="006B71D8">
        <w:rPr>
          <w:rFonts w:eastAsia="Times New Roman"/>
          <w:color w:val="000000" w:themeColor="text1"/>
          <w:szCs w:val="24"/>
          <w:lang w:eastAsia="es-CO"/>
        </w:rPr>
        <w:t>Decreto 3032 de 2013</w:t>
      </w:r>
      <w:r w:rsidRPr="006B71D8">
        <w:rPr>
          <w:rFonts w:eastAsia="Times New Roman"/>
          <w:color w:val="000000" w:themeColor="text1"/>
          <w:szCs w:val="24"/>
          <w:shd w:val="clear" w:color="auto" w:fill="FFFFFE"/>
          <w:lang w:eastAsia="es-CO"/>
        </w:rPr>
        <w:t xml:space="preserve"> artículo 1°; Oficio 001113 del 13 de enero de 2014; Concepto 013196 del 21 de febrero de 2014; Oficio 000885 del 31 de julio de 2014</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 </w:t>
      </w:r>
    </w:p>
    <w:p w:rsidR="006B71D8" w:rsidRPr="006B71D8" w:rsidRDefault="006B71D8" w:rsidP="00FA73E5">
      <w:pPr>
        <w:spacing w:line="240" w:lineRule="auto"/>
        <w:rPr>
          <w:rFonts w:eastAsia="Times New Roman"/>
          <w:color w:val="000000" w:themeColor="text1"/>
          <w:szCs w:val="24"/>
          <w:lang w:eastAsia="es-CO"/>
        </w:rPr>
      </w:pPr>
      <w:r w:rsidRPr="006B71D8">
        <w:rPr>
          <w:rFonts w:eastAsia="Times New Roman"/>
          <w:color w:val="000000" w:themeColor="text1"/>
          <w:szCs w:val="24"/>
          <w:lang w:eastAsia="es-CO"/>
        </w:rPr>
        <w:t> </w:t>
      </w:r>
    </w:p>
    <w:p w:rsidR="006B71D8" w:rsidRPr="006B71D8" w:rsidRDefault="006B71D8" w:rsidP="00FA73E5">
      <w:pPr>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De conformidad con el artículo 20 del Decreto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6B71D8" w:rsidRPr="006B71D8" w:rsidRDefault="006B71D8" w:rsidP="00FA73E5">
      <w:pPr>
        <w:spacing w:line="240" w:lineRule="auto"/>
        <w:rPr>
          <w:rFonts w:eastAsia="Times New Roman"/>
          <w:color w:val="000000" w:themeColor="text1"/>
          <w:szCs w:val="24"/>
          <w:lang w:eastAsia="es-CO"/>
        </w:rPr>
      </w:pPr>
      <w:r w:rsidRPr="006B71D8">
        <w:rPr>
          <w:rFonts w:eastAsia="Times New Roman"/>
          <w:color w:val="000000" w:themeColor="text1"/>
          <w:szCs w:val="24"/>
          <w:lang w:eastAsia="es-CO"/>
        </w:rPr>
        <w:t> </w:t>
      </w:r>
    </w:p>
    <w:p w:rsidR="006B71D8" w:rsidRPr="00FA73E5" w:rsidRDefault="006B71D8" w:rsidP="00FA73E5">
      <w:pPr>
        <w:shd w:val="clear" w:color="auto" w:fill="FFFFFE"/>
        <w:spacing w:line="240" w:lineRule="auto"/>
        <w:rPr>
          <w:rFonts w:eastAsia="Times New Roman"/>
          <w:b/>
          <w:color w:val="000000" w:themeColor="text1"/>
          <w:szCs w:val="24"/>
          <w:lang w:eastAsia="es-CO"/>
        </w:rPr>
      </w:pPr>
      <w:r w:rsidRPr="00FA73E5">
        <w:rPr>
          <w:rFonts w:eastAsia="Times New Roman"/>
          <w:b/>
          <w:color w:val="000000" w:themeColor="text1"/>
          <w:szCs w:val="24"/>
          <w:shd w:val="clear" w:color="auto" w:fill="FFFFFE"/>
          <w:lang w:eastAsia="es-CO"/>
        </w:rPr>
        <w:t>En el radicado de la referencia se plantean las siguientes inquietudes, respecto de la clasificación para efectos tributarios de empleados para aquellos profesionales que prestan sus servicios de forma independiente:</w:t>
      </w:r>
    </w:p>
    <w:p w:rsidR="006B71D8" w:rsidRPr="00FA73E5" w:rsidRDefault="006B71D8" w:rsidP="00FA73E5">
      <w:pPr>
        <w:spacing w:line="240" w:lineRule="auto"/>
        <w:rPr>
          <w:rFonts w:eastAsia="Times New Roman"/>
          <w:b/>
          <w:color w:val="000000" w:themeColor="text1"/>
          <w:szCs w:val="24"/>
          <w:lang w:eastAsia="es-CO"/>
        </w:rPr>
      </w:pPr>
      <w:r w:rsidRPr="00FA73E5">
        <w:rPr>
          <w:rFonts w:eastAsia="Times New Roman"/>
          <w:b/>
          <w:color w:val="000000" w:themeColor="text1"/>
          <w:szCs w:val="24"/>
          <w:lang w:eastAsia="es-CO"/>
        </w:rPr>
        <w:t> </w:t>
      </w:r>
    </w:p>
    <w:p w:rsidR="006B71D8" w:rsidRDefault="006B71D8" w:rsidP="00FA73E5">
      <w:pPr>
        <w:shd w:val="clear" w:color="auto" w:fill="FFFFFE"/>
        <w:tabs>
          <w:tab w:val="left" w:pos="284"/>
        </w:tabs>
        <w:spacing w:line="240" w:lineRule="auto"/>
        <w:ind w:hanging="284"/>
        <w:rPr>
          <w:rFonts w:eastAsia="Symbol"/>
          <w:color w:val="000000" w:themeColor="text1"/>
          <w:szCs w:val="24"/>
          <w:lang w:eastAsia="es-CO"/>
        </w:rPr>
      </w:pPr>
      <w:r w:rsidRPr="006B71D8">
        <w:rPr>
          <w:rFonts w:eastAsia="Symbol"/>
          <w:color w:val="000000" w:themeColor="text1"/>
          <w:szCs w:val="24"/>
          <w:lang w:eastAsia="es-CO"/>
        </w:rPr>
        <w:t xml:space="preserve">     </w:t>
      </w:r>
    </w:p>
    <w:p w:rsidR="006B71D8" w:rsidRPr="00FA73E5" w:rsidRDefault="006B71D8" w:rsidP="00FA73E5">
      <w:pPr>
        <w:shd w:val="clear" w:color="auto" w:fill="FFFFFE"/>
        <w:tabs>
          <w:tab w:val="left" w:pos="284"/>
        </w:tabs>
        <w:spacing w:line="240" w:lineRule="auto"/>
        <w:ind w:hanging="284"/>
        <w:rPr>
          <w:rFonts w:eastAsia="Times New Roman"/>
          <w:b/>
          <w:color w:val="000000" w:themeColor="text1"/>
          <w:szCs w:val="24"/>
          <w:lang w:eastAsia="es-CO"/>
        </w:rPr>
      </w:pPr>
      <w:r w:rsidRPr="00FA73E5">
        <w:rPr>
          <w:rFonts w:eastAsia="Times New Roman"/>
          <w:b/>
          <w:color w:val="000000" w:themeColor="text1"/>
          <w:szCs w:val="24"/>
          <w:shd w:val="clear" w:color="auto" w:fill="FFFFFE"/>
          <w:lang w:eastAsia="es-CO"/>
        </w:rPr>
        <w:t>Si es viable clasificar en la categoría tributaria de empleado aquellos profesionales que prestan servicios, cuyos ingresos provienen en más de un 80% de su actividad profesional y cumple los demás requisitos para clasificarse como empleado, pero tiene unos costos inherentes a su actividad (arrendamiento de oficina, consultorio, pago de secretaria o auxiliares, equipos necesarios para la prestación del servicio, etc.).</w:t>
      </w:r>
    </w:p>
    <w:p w:rsidR="006B71D8" w:rsidRPr="00FA73E5" w:rsidRDefault="006B71D8" w:rsidP="00FA73E5">
      <w:pPr>
        <w:shd w:val="clear" w:color="auto" w:fill="FFFFFE"/>
        <w:tabs>
          <w:tab w:val="left" w:pos="284"/>
        </w:tabs>
        <w:spacing w:line="240" w:lineRule="auto"/>
        <w:ind w:hanging="284"/>
        <w:rPr>
          <w:rFonts w:eastAsia="Symbol"/>
          <w:b/>
          <w:color w:val="000000" w:themeColor="text1"/>
          <w:szCs w:val="24"/>
          <w:lang w:eastAsia="es-CO"/>
        </w:rPr>
      </w:pPr>
      <w:r w:rsidRPr="00FA73E5">
        <w:rPr>
          <w:rFonts w:eastAsia="Symbol"/>
          <w:b/>
          <w:color w:val="000000" w:themeColor="text1"/>
          <w:szCs w:val="24"/>
          <w:lang w:eastAsia="es-CO"/>
        </w:rPr>
        <w:t xml:space="preserve">      </w:t>
      </w:r>
    </w:p>
    <w:p w:rsidR="006B71D8" w:rsidRPr="00FA73E5" w:rsidRDefault="006B71D8" w:rsidP="00FA73E5">
      <w:pPr>
        <w:shd w:val="clear" w:color="auto" w:fill="FFFFFE"/>
        <w:tabs>
          <w:tab w:val="left" w:pos="284"/>
        </w:tabs>
        <w:spacing w:line="240" w:lineRule="auto"/>
        <w:ind w:hanging="284"/>
        <w:rPr>
          <w:rFonts w:eastAsia="Times New Roman"/>
          <w:b/>
          <w:color w:val="000000" w:themeColor="text1"/>
          <w:szCs w:val="24"/>
          <w:lang w:eastAsia="es-CO"/>
        </w:rPr>
      </w:pPr>
      <w:r w:rsidRPr="00FA73E5">
        <w:rPr>
          <w:rFonts w:eastAsia="Times New Roman"/>
          <w:b/>
          <w:color w:val="000000" w:themeColor="text1"/>
          <w:szCs w:val="24"/>
          <w:shd w:val="clear" w:color="auto" w:fill="FFFFFE"/>
          <w:lang w:eastAsia="es-CO"/>
        </w:rPr>
        <w:t>Si es posible considerar que estos servicios se prestan de manera personal, aunque para el desarrollo de la actividad se requiera la contratación de secretaria, auxiliares u otros profesionales.</w:t>
      </w:r>
    </w:p>
    <w:p w:rsidR="006B71D8" w:rsidRPr="00FA73E5" w:rsidRDefault="006B71D8" w:rsidP="00FA73E5">
      <w:pPr>
        <w:shd w:val="clear" w:color="auto" w:fill="FFFFFE"/>
        <w:tabs>
          <w:tab w:val="left" w:pos="284"/>
        </w:tabs>
        <w:spacing w:line="240" w:lineRule="auto"/>
        <w:ind w:hanging="284"/>
        <w:rPr>
          <w:rFonts w:eastAsia="Symbol"/>
          <w:b/>
          <w:color w:val="000000" w:themeColor="text1"/>
          <w:szCs w:val="24"/>
          <w:lang w:eastAsia="es-CO"/>
        </w:rPr>
      </w:pPr>
      <w:r w:rsidRPr="00FA73E5">
        <w:rPr>
          <w:rFonts w:eastAsia="Symbol"/>
          <w:b/>
          <w:color w:val="000000" w:themeColor="text1"/>
          <w:szCs w:val="24"/>
          <w:lang w:eastAsia="es-CO"/>
        </w:rPr>
        <w:t xml:space="preserve">     </w:t>
      </w:r>
    </w:p>
    <w:p w:rsidR="006B71D8" w:rsidRPr="00FA73E5" w:rsidRDefault="006B71D8" w:rsidP="00FA73E5">
      <w:pPr>
        <w:shd w:val="clear" w:color="auto" w:fill="FFFFFE"/>
        <w:tabs>
          <w:tab w:val="left" w:pos="284"/>
        </w:tabs>
        <w:spacing w:line="240" w:lineRule="auto"/>
        <w:ind w:hanging="284"/>
        <w:rPr>
          <w:rFonts w:eastAsia="Times New Roman"/>
          <w:b/>
          <w:color w:val="000000" w:themeColor="text1"/>
          <w:szCs w:val="24"/>
          <w:lang w:eastAsia="es-CO"/>
        </w:rPr>
      </w:pPr>
      <w:r w:rsidRPr="00FA73E5">
        <w:rPr>
          <w:rFonts w:eastAsia="Times New Roman"/>
          <w:b/>
          <w:color w:val="000000" w:themeColor="text1"/>
          <w:szCs w:val="24"/>
          <w:shd w:val="clear" w:color="auto" w:fill="FFFFFE"/>
          <w:lang w:eastAsia="es-CO"/>
        </w:rPr>
        <w:t xml:space="preserve">Si los ingresos producto de esta actividad se incluyen </w:t>
      </w:r>
      <w:r w:rsidR="00FA73E5">
        <w:rPr>
          <w:rFonts w:eastAsia="Times New Roman"/>
          <w:b/>
          <w:color w:val="000000" w:themeColor="text1"/>
          <w:szCs w:val="24"/>
          <w:shd w:val="clear" w:color="auto" w:fill="FFFFFE"/>
          <w:lang w:eastAsia="es-CO"/>
        </w:rPr>
        <w:t xml:space="preserve">en la casilla 33 del Formulario </w:t>
      </w:r>
      <w:r w:rsidRPr="00FA73E5">
        <w:rPr>
          <w:rFonts w:eastAsia="Times New Roman"/>
          <w:b/>
          <w:color w:val="000000" w:themeColor="text1"/>
          <w:szCs w:val="24"/>
          <w:shd w:val="clear" w:color="auto" w:fill="FFFFFE"/>
          <w:lang w:eastAsia="es-CO"/>
        </w:rPr>
        <w:t>210.</w:t>
      </w:r>
    </w:p>
    <w:p w:rsidR="006B71D8" w:rsidRPr="00FA73E5" w:rsidRDefault="006B71D8" w:rsidP="00FA73E5">
      <w:pPr>
        <w:shd w:val="clear" w:color="auto" w:fill="FFFFFE"/>
        <w:tabs>
          <w:tab w:val="left" w:pos="284"/>
        </w:tabs>
        <w:spacing w:line="240" w:lineRule="auto"/>
        <w:ind w:hanging="284"/>
        <w:rPr>
          <w:rFonts w:eastAsia="Symbol"/>
          <w:b/>
          <w:color w:val="000000" w:themeColor="text1"/>
          <w:szCs w:val="24"/>
          <w:lang w:eastAsia="es-CO"/>
        </w:rPr>
      </w:pPr>
      <w:r w:rsidRPr="00FA73E5">
        <w:rPr>
          <w:rFonts w:eastAsia="Symbol"/>
          <w:b/>
          <w:color w:val="000000" w:themeColor="text1"/>
          <w:szCs w:val="24"/>
          <w:lang w:eastAsia="es-CO"/>
        </w:rPr>
        <w:t xml:space="preserve">    </w:t>
      </w:r>
    </w:p>
    <w:p w:rsidR="006B71D8" w:rsidRPr="00FA73E5" w:rsidRDefault="006B71D8" w:rsidP="00FA73E5">
      <w:pPr>
        <w:shd w:val="clear" w:color="auto" w:fill="FFFFFE"/>
        <w:tabs>
          <w:tab w:val="left" w:pos="284"/>
        </w:tabs>
        <w:spacing w:line="240" w:lineRule="auto"/>
        <w:ind w:hanging="284"/>
        <w:rPr>
          <w:rFonts w:eastAsia="Times New Roman"/>
          <w:b/>
          <w:color w:val="000000" w:themeColor="text1"/>
          <w:szCs w:val="24"/>
          <w:shd w:val="clear" w:color="auto" w:fill="FFFFFE"/>
          <w:lang w:eastAsia="es-CO"/>
        </w:rPr>
      </w:pPr>
      <w:r w:rsidRPr="00FA73E5">
        <w:rPr>
          <w:rFonts w:eastAsia="Times New Roman"/>
          <w:b/>
          <w:color w:val="000000" w:themeColor="text1"/>
          <w:szCs w:val="24"/>
          <w:shd w:val="clear" w:color="auto" w:fill="FFFFFE"/>
          <w:lang w:eastAsia="es-CO"/>
        </w:rPr>
        <w:t xml:space="preserve">Si es posible deducir costos y gastos inherentes a su actividad y al 25% de la renta exenta </w:t>
      </w:r>
      <w:r w:rsidR="00FA73E5">
        <w:rPr>
          <w:rFonts w:eastAsia="Times New Roman"/>
          <w:b/>
          <w:color w:val="000000" w:themeColor="text1"/>
          <w:szCs w:val="24"/>
          <w:shd w:val="clear" w:color="auto" w:fill="FFFFFE"/>
          <w:lang w:eastAsia="es-CO"/>
        </w:rPr>
        <w:t xml:space="preserve">- </w:t>
      </w:r>
      <w:r w:rsidRPr="00FA73E5">
        <w:rPr>
          <w:rFonts w:eastAsia="Times New Roman"/>
          <w:b/>
          <w:color w:val="000000" w:themeColor="text1"/>
          <w:szCs w:val="24"/>
          <w:shd w:val="clear" w:color="auto" w:fill="FFFFFE"/>
          <w:lang w:eastAsia="es-CO"/>
        </w:rPr>
        <w:t>cuál sería la base para el cálculo</w:t>
      </w:r>
      <w:proofErr w:type="gramStart"/>
      <w:r w:rsidRPr="00FA73E5">
        <w:rPr>
          <w:rFonts w:eastAsia="Times New Roman"/>
          <w:b/>
          <w:color w:val="000000" w:themeColor="text1"/>
          <w:szCs w:val="24"/>
          <w:shd w:val="clear" w:color="auto" w:fill="FFFFFE"/>
          <w:lang w:eastAsia="es-CO"/>
        </w:rPr>
        <w:t>?</w:t>
      </w:r>
      <w:proofErr w:type="gramEnd"/>
    </w:p>
    <w:p w:rsidR="006B71D8" w:rsidRPr="00FA73E5" w:rsidRDefault="006B71D8" w:rsidP="00FA73E5">
      <w:pPr>
        <w:shd w:val="clear" w:color="auto" w:fill="FFFFFE"/>
        <w:tabs>
          <w:tab w:val="left" w:pos="284"/>
        </w:tabs>
        <w:spacing w:line="240" w:lineRule="auto"/>
        <w:ind w:hanging="284"/>
        <w:rPr>
          <w:rFonts w:eastAsia="Symbol"/>
          <w:b/>
          <w:color w:val="000000" w:themeColor="text1"/>
          <w:szCs w:val="24"/>
          <w:lang w:eastAsia="es-CO"/>
        </w:rPr>
      </w:pPr>
      <w:r w:rsidRPr="00FA73E5">
        <w:rPr>
          <w:rFonts w:eastAsia="Symbol"/>
          <w:b/>
          <w:color w:val="000000" w:themeColor="text1"/>
          <w:szCs w:val="24"/>
          <w:lang w:eastAsia="es-CO"/>
        </w:rPr>
        <w:t xml:space="preserve">     </w:t>
      </w:r>
    </w:p>
    <w:p w:rsidR="006B71D8" w:rsidRPr="00FA73E5" w:rsidRDefault="006B71D8" w:rsidP="00FA73E5">
      <w:pPr>
        <w:shd w:val="clear" w:color="auto" w:fill="FFFFFE"/>
        <w:tabs>
          <w:tab w:val="left" w:pos="284"/>
        </w:tabs>
        <w:spacing w:line="240" w:lineRule="auto"/>
        <w:ind w:hanging="284"/>
        <w:rPr>
          <w:rFonts w:eastAsia="Times New Roman"/>
          <w:b/>
          <w:color w:val="000000" w:themeColor="text1"/>
          <w:szCs w:val="24"/>
          <w:shd w:val="clear" w:color="auto" w:fill="FFFFFE"/>
          <w:lang w:eastAsia="es-CO"/>
        </w:rPr>
      </w:pPr>
      <w:r w:rsidRPr="00FA73E5">
        <w:rPr>
          <w:rFonts w:eastAsia="Times New Roman"/>
          <w:b/>
          <w:color w:val="000000" w:themeColor="text1"/>
          <w:szCs w:val="24"/>
          <w:shd w:val="clear" w:color="auto" w:fill="FFFFFE"/>
          <w:lang w:eastAsia="es-CO"/>
        </w:rPr>
        <w:t>En caso que la anterior inquietud de (sic) responda en forma negativa ¿estas personas seguirán sujetas al régimen ordinario del impuesto de renta?</w:t>
      </w:r>
    </w:p>
    <w:p w:rsidR="006B71D8" w:rsidRPr="00FA73E5" w:rsidRDefault="006B71D8" w:rsidP="00FA73E5">
      <w:pPr>
        <w:shd w:val="clear" w:color="auto" w:fill="FFFFFE"/>
        <w:spacing w:line="240" w:lineRule="auto"/>
        <w:rPr>
          <w:rFonts w:eastAsia="Times New Roman"/>
          <w:b/>
          <w:color w:val="000000" w:themeColor="text1"/>
          <w:szCs w:val="24"/>
          <w:lang w:eastAsia="es-CO"/>
        </w:rPr>
      </w:pPr>
      <w:r w:rsidRPr="00FA73E5">
        <w:rPr>
          <w:rFonts w:eastAsia="Times New Roman"/>
          <w:b/>
          <w:color w:val="000000" w:themeColor="text1"/>
          <w:szCs w:val="24"/>
          <w:shd w:val="clear" w:color="auto" w:fill="FFFFFE"/>
          <w:lang w:eastAsia="es-CO"/>
        </w:rPr>
        <w:t> </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Al respecto, el Despacho hace las siguientes consideraciones:</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 </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Las personas naturales, nacionales o extranjeras, residentes en el país y las sucesiones ilíquidas de causantes con residencia en el país en el momento de su muerte están sujetas al impuesto sobre la renta y complementarios concerniente a sus rentas y ganancias ocasionales, tanto de fuente nacional como de fuente extranjera, y a su patrimonio poseído dentro y fuera del país.</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 </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lastRenderedPageBreak/>
        <w:t xml:space="preserve">En virtud de las modificaciones que trajo el artículo 10 de la </w:t>
      </w:r>
      <w:r w:rsidRPr="006B71D8">
        <w:rPr>
          <w:rFonts w:eastAsia="Times New Roman"/>
          <w:color w:val="000000" w:themeColor="text1"/>
          <w:szCs w:val="24"/>
          <w:lang w:eastAsia="es-CO"/>
        </w:rPr>
        <w:t>Ley 1607 de 2012</w:t>
      </w:r>
      <w:r w:rsidRPr="006B71D8">
        <w:rPr>
          <w:rFonts w:eastAsia="Times New Roman"/>
          <w:color w:val="000000" w:themeColor="text1"/>
          <w:szCs w:val="24"/>
          <w:shd w:val="clear" w:color="auto" w:fill="FFFFFE"/>
          <w:lang w:eastAsia="es-CO"/>
        </w:rPr>
        <w:t xml:space="preserve">, las personas naturales residentes en el país se clasifican en una de las siguientes categorías tributarias: </w:t>
      </w:r>
      <w:r w:rsidRPr="006B71D8">
        <w:rPr>
          <w:rFonts w:eastAsia="Times New Roman"/>
          <w:color w:val="000000" w:themeColor="text1"/>
          <w:szCs w:val="24"/>
          <w:u w:val="single"/>
          <w:shd w:val="clear" w:color="auto" w:fill="FFFFFE"/>
          <w:lang w:eastAsia="es-CO"/>
        </w:rPr>
        <w:t>empleado</w:t>
      </w:r>
      <w:r w:rsidRPr="006B71D8">
        <w:rPr>
          <w:rFonts w:eastAsia="Times New Roman"/>
          <w:color w:val="000000" w:themeColor="text1"/>
          <w:szCs w:val="24"/>
          <w:shd w:val="clear" w:color="auto" w:fill="FFFFFE"/>
          <w:lang w:eastAsia="es-CO"/>
        </w:rPr>
        <w:t xml:space="preserve">, trabajador por cuenta propia y otros contribuyentes, clasificación que se encuentra consagrada en el </w:t>
      </w:r>
      <w:hyperlink r:id="rId9" w:tooltip="Estatuto Tributario CETA" w:history="1">
        <w:r w:rsidRPr="006B71D8">
          <w:rPr>
            <w:rFonts w:eastAsia="Times New Roman"/>
            <w:color w:val="000000" w:themeColor="text1"/>
            <w:szCs w:val="24"/>
            <w:u w:val="single"/>
            <w:shd w:val="clear" w:color="auto" w:fill="FFFFFE"/>
            <w:lang w:eastAsia="es-CO"/>
          </w:rPr>
          <w:t>artículo 329</w:t>
        </w:r>
      </w:hyperlink>
      <w:r w:rsidRPr="006B71D8">
        <w:rPr>
          <w:rFonts w:eastAsia="Times New Roman"/>
          <w:color w:val="000000" w:themeColor="text1"/>
          <w:szCs w:val="24"/>
          <w:shd w:val="clear" w:color="auto" w:fill="FFFFFE"/>
          <w:lang w:eastAsia="es-CO"/>
        </w:rPr>
        <w:t xml:space="preserve"> del </w:t>
      </w:r>
      <w:r w:rsidRPr="006B71D8">
        <w:rPr>
          <w:rFonts w:eastAsia="Times New Roman"/>
          <w:color w:val="000000" w:themeColor="text1"/>
          <w:szCs w:val="24"/>
          <w:lang w:eastAsia="es-CO"/>
        </w:rPr>
        <w:t>Estatuto Tributario</w:t>
      </w:r>
      <w:r w:rsidRPr="006B71D8">
        <w:rPr>
          <w:rFonts w:eastAsia="Times New Roman"/>
          <w:color w:val="000000" w:themeColor="text1"/>
          <w:szCs w:val="24"/>
          <w:shd w:val="clear" w:color="auto" w:fill="FFFFFE"/>
          <w:lang w:eastAsia="es-CO"/>
        </w:rPr>
        <w:t xml:space="preserve"> en los siguientes términos:</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 </w:t>
      </w:r>
    </w:p>
    <w:p w:rsidR="006B71D8" w:rsidRPr="006B71D8" w:rsidRDefault="00FA73E5" w:rsidP="00FA73E5">
      <w:pPr>
        <w:shd w:val="clear" w:color="auto" w:fill="FFFFFE"/>
        <w:spacing w:line="240" w:lineRule="auto"/>
        <w:rPr>
          <w:rFonts w:eastAsia="Times New Roman"/>
          <w:color w:val="000000" w:themeColor="text1"/>
          <w:szCs w:val="24"/>
          <w:lang w:eastAsia="es-CO"/>
        </w:rPr>
      </w:pPr>
      <w:hyperlink r:id="rId10" w:tooltip="Estatuto Tributario CETA" w:history="1">
        <w:r w:rsidR="006B71D8" w:rsidRPr="006B71D8">
          <w:rPr>
            <w:rFonts w:eastAsia="Times New Roman"/>
            <w:b/>
            <w:color w:val="000000" w:themeColor="text1"/>
            <w:szCs w:val="24"/>
            <w:u w:val="single"/>
            <w:shd w:val="clear" w:color="auto" w:fill="FFFFFE"/>
            <w:lang w:eastAsia="es-CO"/>
          </w:rPr>
          <w:t>Artículo 329</w:t>
        </w:r>
      </w:hyperlink>
      <w:r w:rsidR="006B71D8" w:rsidRPr="006B71D8">
        <w:rPr>
          <w:rFonts w:eastAsia="Times New Roman"/>
          <w:b/>
          <w:color w:val="000000" w:themeColor="text1"/>
          <w:szCs w:val="24"/>
          <w:shd w:val="clear" w:color="auto" w:fill="FFFFFE"/>
          <w:lang w:eastAsia="es-CO"/>
        </w:rPr>
        <w:t xml:space="preserve">. </w:t>
      </w:r>
      <w:r w:rsidR="006B71D8" w:rsidRPr="006B71D8">
        <w:rPr>
          <w:rFonts w:eastAsia="Times New Roman"/>
          <w:b/>
          <w:i/>
          <w:color w:val="000000" w:themeColor="text1"/>
          <w:szCs w:val="24"/>
          <w:shd w:val="clear" w:color="auto" w:fill="FFFFFE"/>
          <w:lang w:eastAsia="es-CO"/>
        </w:rPr>
        <w:t>Clasificación de las personas naturales.</w:t>
      </w:r>
      <w:r w:rsidR="006B71D8" w:rsidRPr="006B71D8">
        <w:rPr>
          <w:rFonts w:eastAsia="Times New Roman"/>
          <w:color w:val="000000" w:themeColor="text1"/>
          <w:szCs w:val="24"/>
          <w:shd w:val="clear" w:color="auto" w:fill="FFFFFE"/>
          <w:lang w:eastAsia="es-CO"/>
        </w:rPr>
        <w:t xml:space="preserve"> &lt;Artículo adicionado por el artículo 10 de la </w:t>
      </w:r>
      <w:r w:rsidR="006B71D8" w:rsidRPr="006B71D8">
        <w:rPr>
          <w:rFonts w:eastAsia="Times New Roman"/>
          <w:color w:val="000000" w:themeColor="text1"/>
          <w:szCs w:val="24"/>
          <w:lang w:eastAsia="es-CO"/>
        </w:rPr>
        <w:t>Ley 1607 de 2012</w:t>
      </w:r>
      <w:r w:rsidR="006B71D8" w:rsidRPr="006B71D8">
        <w:rPr>
          <w:rFonts w:eastAsia="Times New Roman"/>
          <w:color w:val="000000" w:themeColor="text1"/>
          <w:szCs w:val="24"/>
          <w:shd w:val="clear" w:color="auto" w:fill="FFFFFE"/>
          <w:lang w:eastAsia="es-CO"/>
        </w:rPr>
        <w:t>&gt; Para efectos de lo previsto en los Capítulos I y II de este Título, las personas naturales se clasifican en las siguientes categorías tributarias:</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 </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a) Empleado;</w:t>
      </w:r>
    </w:p>
    <w:p w:rsidR="006B71D8" w:rsidRDefault="006B71D8" w:rsidP="00FA73E5">
      <w:pPr>
        <w:shd w:val="clear" w:color="auto" w:fill="FFFFFE"/>
        <w:spacing w:line="240" w:lineRule="auto"/>
        <w:rPr>
          <w:rFonts w:eastAsia="Times New Roman"/>
          <w:color w:val="000000" w:themeColor="text1"/>
          <w:szCs w:val="24"/>
          <w:shd w:val="clear" w:color="auto" w:fill="FFFFFE"/>
          <w:lang w:eastAsia="es-CO"/>
        </w:rPr>
      </w:pP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b) Trabajador por cuenta propia.</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w:t>
      </w:r>
    </w:p>
    <w:p w:rsidR="006B71D8" w:rsidRDefault="006B71D8" w:rsidP="00FA73E5">
      <w:pPr>
        <w:shd w:val="clear" w:color="auto" w:fill="FFFFFE"/>
        <w:spacing w:line="240" w:lineRule="auto"/>
        <w:rPr>
          <w:rFonts w:eastAsia="Times New Roman"/>
          <w:color w:val="000000" w:themeColor="text1"/>
          <w:szCs w:val="24"/>
          <w:shd w:val="clear" w:color="auto" w:fill="FFFFFE"/>
          <w:lang w:eastAsia="es-CO"/>
        </w:rPr>
      </w:pP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 xml:space="preserve">Se entiende como </w:t>
      </w:r>
      <w:r w:rsidRPr="006B71D8">
        <w:rPr>
          <w:rFonts w:eastAsia="Times New Roman"/>
          <w:b/>
          <w:color w:val="000000" w:themeColor="text1"/>
          <w:szCs w:val="24"/>
          <w:shd w:val="clear" w:color="auto" w:fill="FFFFFE"/>
          <w:lang w:eastAsia="es-CO"/>
        </w:rPr>
        <w:t>trabajador por cuenta propia,</w:t>
      </w:r>
      <w:r w:rsidRPr="006B71D8">
        <w:rPr>
          <w:rFonts w:eastAsia="Times New Roman"/>
          <w:color w:val="000000" w:themeColor="text1"/>
          <w:szCs w:val="24"/>
          <w:shd w:val="clear" w:color="auto" w:fill="FFFFFE"/>
          <w:lang w:eastAsia="es-CO"/>
        </w:rPr>
        <w:t xml:space="preserve"> toda </w:t>
      </w:r>
      <w:r w:rsidRPr="006B71D8">
        <w:rPr>
          <w:rFonts w:eastAsia="Times New Roman"/>
          <w:b/>
          <w:color w:val="000000" w:themeColor="text1"/>
          <w:szCs w:val="24"/>
          <w:shd w:val="clear" w:color="auto" w:fill="FFFFFE"/>
          <w:lang w:eastAsia="es-CO"/>
        </w:rPr>
        <w:t xml:space="preserve">persona natural residente en el país </w:t>
      </w:r>
      <w:r w:rsidRPr="006B71D8">
        <w:rPr>
          <w:rFonts w:eastAsia="Times New Roman"/>
          <w:color w:val="000000" w:themeColor="text1"/>
          <w:szCs w:val="24"/>
          <w:shd w:val="clear" w:color="auto" w:fill="FFFFFE"/>
          <w:lang w:eastAsia="es-CO"/>
        </w:rPr>
        <w:t xml:space="preserve">cuyos </w:t>
      </w:r>
      <w:r w:rsidRPr="006B71D8">
        <w:rPr>
          <w:rFonts w:eastAsia="Times New Roman"/>
          <w:b/>
          <w:color w:val="000000" w:themeColor="text1"/>
          <w:szCs w:val="24"/>
          <w:shd w:val="clear" w:color="auto" w:fill="FFFFFE"/>
          <w:lang w:eastAsia="es-CO"/>
        </w:rPr>
        <w:t>ingresos</w:t>
      </w:r>
      <w:r w:rsidRPr="006B71D8">
        <w:rPr>
          <w:rFonts w:eastAsia="Times New Roman"/>
          <w:color w:val="000000" w:themeColor="text1"/>
          <w:szCs w:val="24"/>
          <w:shd w:val="clear" w:color="auto" w:fill="FFFFFE"/>
          <w:lang w:eastAsia="es-CO"/>
        </w:rPr>
        <w:t xml:space="preserve"> provengan en una proporción </w:t>
      </w:r>
      <w:r w:rsidRPr="006B71D8">
        <w:rPr>
          <w:rFonts w:eastAsia="Times New Roman"/>
          <w:b/>
          <w:color w:val="000000" w:themeColor="text1"/>
          <w:szCs w:val="24"/>
          <w:shd w:val="clear" w:color="auto" w:fill="FFFFFE"/>
          <w:lang w:eastAsia="es-CO"/>
        </w:rPr>
        <w:t xml:space="preserve">igual o superior a un ochenta por ciento (80) de la realización de una de las actividades económicas señaladas en el Capítulo II del Título V del Libro I del </w:t>
      </w:r>
      <w:r w:rsidRPr="006B71D8">
        <w:rPr>
          <w:rFonts w:eastAsia="Times New Roman"/>
          <w:b/>
          <w:color w:val="000000" w:themeColor="text1"/>
          <w:szCs w:val="24"/>
          <w:lang w:eastAsia="es-CO"/>
        </w:rPr>
        <w:t>Estatuto Tributario</w:t>
      </w:r>
      <w:r w:rsidRPr="006B71D8">
        <w:rPr>
          <w:rFonts w:eastAsia="Times New Roman"/>
          <w:b/>
          <w:color w:val="000000" w:themeColor="text1"/>
          <w:szCs w:val="24"/>
          <w:shd w:val="clear" w:color="auto" w:fill="FFFFFE"/>
          <w:lang w:eastAsia="es-CO"/>
        </w:rPr>
        <w:t>.</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(Se resalta)</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 </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 xml:space="preserve">Para el caso materia de análisis la mencionada clasificación resulta indispensable a fin de establecer el sistema de determinación del impuesto de </w:t>
      </w:r>
      <w:r w:rsidRPr="006B71D8">
        <w:rPr>
          <w:rFonts w:eastAsia="Times New Roman"/>
          <w:b/>
          <w:color w:val="000000" w:themeColor="text1"/>
          <w:szCs w:val="24"/>
          <w:shd w:val="clear" w:color="auto" w:fill="FFFFFE"/>
          <w:lang w:eastAsia="es-CO"/>
        </w:rPr>
        <w:t>renta aplicable.</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b/>
          <w:color w:val="000000" w:themeColor="text1"/>
          <w:szCs w:val="24"/>
          <w:shd w:val="clear" w:color="auto" w:fill="FFFFFE"/>
          <w:lang w:eastAsia="es-CO"/>
        </w:rPr>
        <w:t> </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Sobre la clasificación de las personas naturales residentes en Colombia, para efectos del régimen del Impuesto sobre la Renta se profirió el oficio 000885 del 31 de julio de 2014, del cual remitimos copia para su conocimiento por constituir doctrina vigente sobre el tema.</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 </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 xml:space="preserve">Respecto a la categoría tributaría de empleados, el mencionado oficio al interpretar el citado </w:t>
      </w:r>
      <w:hyperlink r:id="rId11" w:tooltip="Estatuto Tributario CETA" w:history="1">
        <w:r w:rsidRPr="006B71D8">
          <w:rPr>
            <w:rFonts w:eastAsia="Times New Roman"/>
            <w:color w:val="000000" w:themeColor="text1"/>
            <w:szCs w:val="24"/>
            <w:u w:val="single"/>
            <w:shd w:val="clear" w:color="auto" w:fill="FFFFFE"/>
            <w:lang w:eastAsia="es-CO"/>
          </w:rPr>
          <w:t>artículo 329</w:t>
        </w:r>
      </w:hyperlink>
      <w:r w:rsidRPr="006B71D8">
        <w:rPr>
          <w:rFonts w:eastAsia="Times New Roman"/>
          <w:color w:val="000000" w:themeColor="text1"/>
          <w:szCs w:val="24"/>
          <w:shd w:val="clear" w:color="auto" w:fill="FFFFFE"/>
          <w:lang w:eastAsia="es-CO"/>
        </w:rPr>
        <w:t xml:space="preserve"> ibídem y su correspondiente reglamentación planteó dentro de los criterios para pertenecer a dicha categoría que:</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 </w:t>
      </w:r>
    </w:p>
    <w:p w:rsidR="006B71D8" w:rsidRDefault="006B71D8" w:rsidP="00FA73E5">
      <w:pPr>
        <w:shd w:val="clear" w:color="auto" w:fill="FFFFFE"/>
        <w:tabs>
          <w:tab w:val="left" w:pos="284"/>
        </w:tabs>
        <w:spacing w:line="240" w:lineRule="auto"/>
        <w:ind w:hanging="284"/>
        <w:rPr>
          <w:rFonts w:eastAsia="Symbol"/>
          <w:color w:val="000000" w:themeColor="text1"/>
          <w:szCs w:val="24"/>
          <w:lang w:eastAsia="es-CO"/>
        </w:rPr>
      </w:pPr>
      <w:r w:rsidRPr="006B71D8">
        <w:rPr>
          <w:rFonts w:eastAsia="Symbol"/>
          <w:color w:val="000000" w:themeColor="text1"/>
          <w:szCs w:val="24"/>
          <w:lang w:eastAsia="es-CO"/>
        </w:rPr>
        <w:t xml:space="preserve">      </w:t>
      </w:r>
    </w:p>
    <w:p w:rsidR="006B71D8" w:rsidRPr="006B71D8" w:rsidRDefault="00FA73E5" w:rsidP="00FA73E5">
      <w:pPr>
        <w:shd w:val="clear" w:color="auto" w:fill="FFFFFE"/>
        <w:tabs>
          <w:tab w:val="left" w:pos="284"/>
        </w:tabs>
        <w:spacing w:line="240" w:lineRule="auto"/>
        <w:ind w:hanging="284"/>
        <w:rPr>
          <w:rFonts w:eastAsia="Times New Roman"/>
          <w:color w:val="000000" w:themeColor="text1"/>
          <w:szCs w:val="24"/>
          <w:lang w:eastAsia="es-CO"/>
        </w:rPr>
      </w:pPr>
      <w:r>
        <w:rPr>
          <w:rFonts w:eastAsia="Times New Roman"/>
          <w:color w:val="000000" w:themeColor="text1"/>
          <w:szCs w:val="24"/>
          <w:shd w:val="clear" w:color="auto" w:fill="FFFFFE"/>
          <w:lang w:eastAsia="es-CO"/>
        </w:rPr>
        <w:tab/>
      </w:r>
      <w:r w:rsidR="006B71D8" w:rsidRPr="006B71D8">
        <w:rPr>
          <w:rFonts w:eastAsia="Times New Roman"/>
          <w:color w:val="000000" w:themeColor="text1"/>
          <w:szCs w:val="24"/>
          <w:shd w:val="clear" w:color="auto" w:fill="FFFFFE"/>
          <w:lang w:eastAsia="es-CO"/>
        </w:rPr>
        <w:t xml:space="preserve">El 80% o más de sus ingresos brutos provienen de una </w:t>
      </w:r>
      <w:r w:rsidR="006B71D8" w:rsidRPr="006B71D8">
        <w:rPr>
          <w:rFonts w:eastAsia="Times New Roman"/>
          <w:b/>
          <w:color w:val="000000" w:themeColor="text1"/>
          <w:szCs w:val="24"/>
          <w:shd w:val="clear" w:color="auto" w:fill="FFFFFE"/>
          <w:lang w:eastAsia="es-CO"/>
        </w:rPr>
        <w:t>profesión liberal</w:t>
      </w:r>
      <w:r w:rsidR="006B71D8" w:rsidRPr="006B71D8">
        <w:rPr>
          <w:rFonts w:eastAsia="Times New Roman"/>
          <w:color w:val="000000" w:themeColor="text1"/>
          <w:szCs w:val="24"/>
          <w:shd w:val="clear" w:color="auto" w:fill="FFFFFE"/>
          <w:lang w:eastAsia="es-CO"/>
        </w:rPr>
        <w:t xml:space="preserve"> ejercida mediante una relación laboral, legal, contractual </w:t>
      </w:r>
      <w:r w:rsidR="006B71D8" w:rsidRPr="006B71D8">
        <w:rPr>
          <w:rFonts w:eastAsia="Times New Roman"/>
          <w:color w:val="000000" w:themeColor="text1"/>
          <w:szCs w:val="24"/>
          <w:u w:val="single"/>
          <w:shd w:val="clear" w:color="auto" w:fill="FFFFFE"/>
          <w:lang w:eastAsia="es-CO"/>
        </w:rPr>
        <w:t>o de cualquier naturaleza independientemente de su denominación</w:t>
      </w:r>
      <w:r w:rsidR="006B71D8" w:rsidRPr="006B71D8">
        <w:rPr>
          <w:rFonts w:eastAsia="Times New Roman"/>
          <w:color w:val="000000" w:themeColor="text1"/>
          <w:szCs w:val="24"/>
          <w:shd w:val="clear" w:color="auto" w:fill="FFFFFE"/>
          <w:lang w:eastAsia="es-CO"/>
        </w:rPr>
        <w:t>.</w:t>
      </w:r>
    </w:p>
    <w:p w:rsidR="006B71D8" w:rsidRDefault="006B71D8" w:rsidP="00FA73E5">
      <w:pPr>
        <w:shd w:val="clear" w:color="auto" w:fill="FFFFFE"/>
        <w:tabs>
          <w:tab w:val="left" w:pos="284"/>
        </w:tabs>
        <w:spacing w:line="240" w:lineRule="auto"/>
        <w:ind w:hanging="284"/>
        <w:rPr>
          <w:rFonts w:eastAsia="Symbol"/>
          <w:color w:val="000000" w:themeColor="text1"/>
          <w:szCs w:val="24"/>
          <w:lang w:eastAsia="es-CO"/>
        </w:rPr>
      </w:pPr>
      <w:r w:rsidRPr="006B71D8">
        <w:rPr>
          <w:rFonts w:eastAsia="Symbol"/>
          <w:color w:val="000000" w:themeColor="text1"/>
          <w:szCs w:val="24"/>
          <w:lang w:eastAsia="es-CO"/>
        </w:rPr>
        <w:t xml:space="preserve">      </w:t>
      </w:r>
    </w:p>
    <w:p w:rsidR="006B71D8" w:rsidRPr="006B71D8" w:rsidRDefault="00FA73E5" w:rsidP="00FA73E5">
      <w:pPr>
        <w:shd w:val="clear" w:color="auto" w:fill="FFFFFE"/>
        <w:tabs>
          <w:tab w:val="left" w:pos="284"/>
        </w:tabs>
        <w:spacing w:line="240" w:lineRule="auto"/>
        <w:ind w:hanging="284"/>
        <w:rPr>
          <w:rFonts w:eastAsia="Times New Roman"/>
          <w:color w:val="000000" w:themeColor="text1"/>
          <w:szCs w:val="24"/>
          <w:lang w:eastAsia="es-CO"/>
        </w:rPr>
      </w:pPr>
      <w:r>
        <w:rPr>
          <w:rFonts w:eastAsia="Times New Roman"/>
          <w:color w:val="000000" w:themeColor="text1"/>
          <w:szCs w:val="24"/>
          <w:shd w:val="clear" w:color="auto" w:fill="FFFFFE"/>
          <w:lang w:eastAsia="es-CO"/>
        </w:rPr>
        <w:tab/>
      </w:r>
      <w:r w:rsidR="006B71D8" w:rsidRPr="006B71D8">
        <w:rPr>
          <w:rFonts w:eastAsia="Times New Roman"/>
          <w:color w:val="000000" w:themeColor="text1"/>
          <w:szCs w:val="24"/>
          <w:shd w:val="clear" w:color="auto" w:fill="FFFFFE"/>
          <w:lang w:eastAsia="es-CO"/>
        </w:rPr>
        <w:t xml:space="preserve">El 80% de sus ingresos brutos provienen de la </w:t>
      </w:r>
      <w:r w:rsidR="006B71D8" w:rsidRPr="006B71D8">
        <w:rPr>
          <w:rFonts w:eastAsia="Times New Roman"/>
          <w:b/>
          <w:color w:val="000000" w:themeColor="text1"/>
          <w:szCs w:val="24"/>
          <w:shd w:val="clear" w:color="auto" w:fill="FFFFFE"/>
          <w:lang w:eastAsia="es-CO"/>
        </w:rPr>
        <w:t>prestación de un servicio personal</w:t>
      </w:r>
      <w:r w:rsidR="006B71D8" w:rsidRPr="006B71D8">
        <w:rPr>
          <w:rFonts w:eastAsia="Times New Roman"/>
          <w:color w:val="000000" w:themeColor="text1"/>
          <w:szCs w:val="24"/>
          <w:shd w:val="clear" w:color="auto" w:fill="FFFFFE"/>
          <w:lang w:eastAsia="es-CO"/>
        </w:rPr>
        <w:t xml:space="preserve"> ejecutado en razón de una relación laboral, legal, y reglamentaria </w:t>
      </w:r>
      <w:r w:rsidR="006B71D8" w:rsidRPr="006B71D8">
        <w:rPr>
          <w:rFonts w:eastAsia="Times New Roman"/>
          <w:color w:val="000000" w:themeColor="text1"/>
          <w:szCs w:val="24"/>
          <w:u w:val="single"/>
          <w:shd w:val="clear" w:color="auto" w:fill="FFFFFE"/>
          <w:lang w:eastAsia="es-CO"/>
        </w:rPr>
        <w:t>o de cualquier naturaleza independientemente de su denominación</w:t>
      </w:r>
      <w:r w:rsidR="006B71D8" w:rsidRPr="006B71D8">
        <w:rPr>
          <w:rFonts w:eastAsia="Times New Roman"/>
          <w:color w:val="000000" w:themeColor="text1"/>
          <w:szCs w:val="24"/>
          <w:shd w:val="clear" w:color="auto" w:fill="FFFFFE"/>
          <w:lang w:eastAsia="es-CO"/>
        </w:rPr>
        <w:t>.</w:t>
      </w:r>
    </w:p>
    <w:p w:rsidR="006B71D8" w:rsidRDefault="006B71D8" w:rsidP="00FA73E5">
      <w:pPr>
        <w:shd w:val="clear" w:color="auto" w:fill="FFFFFE"/>
        <w:tabs>
          <w:tab w:val="left" w:pos="284"/>
        </w:tabs>
        <w:spacing w:line="240" w:lineRule="auto"/>
        <w:ind w:hanging="284"/>
        <w:rPr>
          <w:rFonts w:eastAsia="Symbol"/>
          <w:color w:val="000000" w:themeColor="text1"/>
          <w:szCs w:val="24"/>
          <w:lang w:eastAsia="es-CO"/>
        </w:rPr>
      </w:pPr>
      <w:r w:rsidRPr="006B71D8">
        <w:rPr>
          <w:rFonts w:eastAsia="Symbol"/>
          <w:color w:val="000000" w:themeColor="text1"/>
          <w:szCs w:val="24"/>
          <w:lang w:eastAsia="es-CO"/>
        </w:rPr>
        <w:t xml:space="preserve">     </w:t>
      </w:r>
    </w:p>
    <w:p w:rsidR="006B71D8" w:rsidRPr="006B71D8" w:rsidRDefault="00FA73E5" w:rsidP="00FA73E5">
      <w:pPr>
        <w:shd w:val="clear" w:color="auto" w:fill="FFFFFE"/>
        <w:tabs>
          <w:tab w:val="left" w:pos="284"/>
        </w:tabs>
        <w:spacing w:line="240" w:lineRule="auto"/>
        <w:ind w:hanging="284"/>
        <w:rPr>
          <w:rFonts w:eastAsia="Times New Roman"/>
          <w:color w:val="000000" w:themeColor="text1"/>
          <w:szCs w:val="24"/>
          <w:lang w:eastAsia="es-CO"/>
        </w:rPr>
      </w:pPr>
      <w:r>
        <w:rPr>
          <w:rFonts w:eastAsia="Times New Roman"/>
          <w:color w:val="000000" w:themeColor="text1"/>
          <w:szCs w:val="24"/>
          <w:shd w:val="clear" w:color="auto" w:fill="FFFFFE"/>
          <w:lang w:eastAsia="es-CO"/>
        </w:rPr>
        <w:tab/>
      </w:r>
      <w:r w:rsidR="006B71D8" w:rsidRPr="006B71D8">
        <w:rPr>
          <w:rFonts w:eastAsia="Times New Roman"/>
          <w:color w:val="000000" w:themeColor="text1"/>
          <w:szCs w:val="24"/>
          <w:shd w:val="clear" w:color="auto" w:fill="FFFFFE"/>
          <w:lang w:eastAsia="es-CO"/>
        </w:rPr>
        <w:t xml:space="preserve">El 80% o más de sus ingresos brutos provienen de la prestación de un </w:t>
      </w:r>
      <w:r w:rsidR="006B71D8" w:rsidRPr="006B71D8">
        <w:rPr>
          <w:rFonts w:eastAsia="Times New Roman"/>
          <w:b/>
          <w:color w:val="000000" w:themeColor="text1"/>
          <w:szCs w:val="24"/>
          <w:shd w:val="clear" w:color="auto" w:fill="FFFFFE"/>
          <w:lang w:eastAsia="es-CO"/>
        </w:rPr>
        <w:t>servicio técnico</w:t>
      </w:r>
      <w:r w:rsidR="006B71D8" w:rsidRPr="006B71D8">
        <w:rPr>
          <w:rFonts w:eastAsia="Times New Roman"/>
          <w:color w:val="000000" w:themeColor="text1"/>
          <w:szCs w:val="24"/>
          <w:shd w:val="clear" w:color="auto" w:fill="FFFFFE"/>
          <w:lang w:eastAsia="es-CO"/>
        </w:rPr>
        <w:t xml:space="preserve"> que no </w:t>
      </w:r>
      <w:proofErr w:type="gramStart"/>
      <w:r w:rsidR="006B71D8" w:rsidRPr="006B71D8">
        <w:rPr>
          <w:rFonts w:eastAsia="Times New Roman"/>
          <w:color w:val="000000" w:themeColor="text1"/>
          <w:szCs w:val="24"/>
          <w:shd w:val="clear" w:color="auto" w:fill="FFFFFE"/>
          <w:lang w:eastAsia="es-CO"/>
        </w:rPr>
        <w:t>requieran</w:t>
      </w:r>
      <w:proofErr w:type="gramEnd"/>
      <w:r w:rsidR="006B71D8" w:rsidRPr="006B71D8">
        <w:rPr>
          <w:rFonts w:eastAsia="Times New Roman"/>
          <w:color w:val="000000" w:themeColor="text1"/>
          <w:szCs w:val="24"/>
          <w:shd w:val="clear" w:color="auto" w:fill="FFFFFE"/>
          <w:lang w:eastAsia="es-CO"/>
        </w:rPr>
        <w:t xml:space="preserve"> la utilización de materiales o insumos especializados o de maquinaria o equipo especializado, y la realiza mediante una relación laboral, legal, contractual o de cualquier naturaleza independientemente de su denominación.</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(Subrayado fuera del texto)</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 </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En el punto 2 del mencionado oficio se indicó, al responder la pregunta sobre el método de determinación de renta puede o debe utilizar una persona clasificada en la categoría de empleado, que:</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 </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 xml:space="preserve">Si la categoría es de EMPLEADO, </w:t>
      </w:r>
      <w:r w:rsidRPr="006B71D8">
        <w:rPr>
          <w:rFonts w:eastAsia="Times New Roman"/>
          <w:b/>
          <w:color w:val="000000" w:themeColor="text1"/>
          <w:szCs w:val="24"/>
          <w:shd w:val="clear" w:color="auto" w:fill="FFFFFE"/>
          <w:lang w:eastAsia="es-CO"/>
        </w:rPr>
        <w:t xml:space="preserve">obligatoriamente debe calcular el impuesto de renta y complementario por el sistema IMAN y por el sistema contemplado en el Título I del Libro I del </w:t>
      </w:r>
      <w:r w:rsidRPr="006B71D8">
        <w:rPr>
          <w:rFonts w:eastAsia="Times New Roman"/>
          <w:b/>
          <w:color w:val="000000" w:themeColor="text1"/>
          <w:szCs w:val="24"/>
          <w:lang w:eastAsia="es-CO"/>
        </w:rPr>
        <w:t>Estatuto Tributario</w:t>
      </w:r>
      <w:r w:rsidRPr="006B71D8">
        <w:rPr>
          <w:rFonts w:eastAsia="Times New Roman"/>
          <w:b/>
          <w:color w:val="000000" w:themeColor="text1"/>
          <w:szCs w:val="24"/>
          <w:shd w:val="clear" w:color="auto" w:fill="FFFFFE"/>
          <w:lang w:eastAsia="es-CO"/>
        </w:rPr>
        <w:t xml:space="preserve"> (sistema ordinario y renta presuntiva),</w:t>
      </w:r>
      <w:r w:rsidRPr="006B71D8">
        <w:rPr>
          <w:rFonts w:eastAsia="Times New Roman"/>
          <w:color w:val="000000" w:themeColor="text1"/>
          <w:szCs w:val="24"/>
          <w:shd w:val="clear" w:color="auto" w:fill="FFFFFE"/>
          <w:lang w:eastAsia="es-CO"/>
        </w:rPr>
        <w:t xml:space="preserve"> con el fin de poder compararlos.</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lastRenderedPageBreak/>
        <w:t> </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Es de recordar que se debe pagar y declarar el impuesto que resulte mayor, después de haber realizado la comparación.</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 </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 xml:space="preserve">No obstante, aquellos empleados cuya Renta Gravable Alternativa (RGA) calculada de acuerdo con el </w:t>
      </w:r>
      <w:hyperlink r:id="rId12" w:tooltip="Estatuto Tributario CETA" w:history="1">
        <w:r w:rsidRPr="006B71D8">
          <w:rPr>
            <w:rFonts w:eastAsia="Times New Roman"/>
            <w:color w:val="000000" w:themeColor="text1"/>
            <w:szCs w:val="24"/>
            <w:u w:val="single"/>
            <w:shd w:val="clear" w:color="auto" w:fill="FFFFFE"/>
            <w:lang w:eastAsia="es-CO"/>
          </w:rPr>
          <w:t>art. 332</w:t>
        </w:r>
      </w:hyperlink>
      <w:r w:rsidRPr="006B71D8">
        <w:rPr>
          <w:rFonts w:eastAsia="Times New Roman"/>
          <w:color w:val="000000" w:themeColor="text1"/>
          <w:szCs w:val="24"/>
          <w:shd w:val="clear" w:color="auto" w:fill="FFFFFE"/>
          <w:lang w:eastAsia="es-CO"/>
        </w:rPr>
        <w:t xml:space="preserve"> del ET sea inferior a 4.700 UVT ($126.152.700 para el año 2013), podrán declarar y pagar su impuesto sobre la renta y complementarios bajo el sistema IMAS.</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(Negrilla fuera del texto)</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 </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 xml:space="preserve">Es preciso recordar que de conformidad con el </w:t>
      </w:r>
      <w:hyperlink r:id="rId13" w:tooltip="Estatuto Tributario CETA" w:history="1">
        <w:r w:rsidRPr="006B71D8">
          <w:rPr>
            <w:rFonts w:eastAsia="Times New Roman"/>
            <w:color w:val="000000" w:themeColor="text1"/>
            <w:szCs w:val="24"/>
            <w:u w:val="single"/>
            <w:shd w:val="clear" w:color="auto" w:fill="FFFFFE"/>
            <w:lang w:eastAsia="es-CO"/>
          </w:rPr>
          <w:t>artículo 331</w:t>
        </w:r>
      </w:hyperlink>
      <w:r w:rsidRPr="006B71D8">
        <w:rPr>
          <w:rFonts w:eastAsia="Times New Roman"/>
          <w:color w:val="000000" w:themeColor="text1"/>
          <w:szCs w:val="24"/>
          <w:shd w:val="clear" w:color="auto" w:fill="FFFFFE"/>
          <w:lang w:eastAsia="es-CO"/>
        </w:rPr>
        <w:t xml:space="preserve"> del </w:t>
      </w:r>
      <w:r w:rsidRPr="006B71D8">
        <w:rPr>
          <w:rFonts w:eastAsia="Times New Roman"/>
          <w:color w:val="000000" w:themeColor="text1"/>
          <w:szCs w:val="24"/>
          <w:lang w:eastAsia="es-CO"/>
        </w:rPr>
        <w:t>Estatuto Tributario</w:t>
      </w:r>
      <w:r w:rsidRPr="006B71D8">
        <w:rPr>
          <w:rFonts w:eastAsia="Times New Roman"/>
          <w:color w:val="000000" w:themeColor="text1"/>
          <w:szCs w:val="24"/>
          <w:shd w:val="clear" w:color="auto" w:fill="FFFFFE"/>
          <w:lang w:eastAsia="es-CO"/>
        </w:rPr>
        <w:t xml:space="preserve"> que consagra el Impuesto Mínimo Alternativo Nacional –IMAN- para las personas naturales clasificadas como Empleados, este es un sistema presuntivo y obligatorio de determinación de la base gravable y alícuota del impuesto sobre la renta y complementarios, el cual no admite para su cálculo depuraciones, deducciones ni aminoraciones estructurales, salvo las previstas en el </w:t>
      </w:r>
      <w:hyperlink r:id="rId14" w:tooltip="Estatuto Tributario CETA" w:history="1">
        <w:r w:rsidRPr="006B71D8">
          <w:rPr>
            <w:rFonts w:eastAsia="Times New Roman"/>
            <w:color w:val="000000" w:themeColor="text1"/>
            <w:szCs w:val="24"/>
            <w:u w:val="single"/>
            <w:shd w:val="clear" w:color="auto" w:fill="FFFFFE"/>
            <w:lang w:eastAsia="es-CO"/>
          </w:rPr>
          <w:t>artículo 332</w:t>
        </w:r>
      </w:hyperlink>
      <w:r w:rsidRPr="006B71D8">
        <w:rPr>
          <w:rFonts w:eastAsia="Times New Roman"/>
          <w:color w:val="000000" w:themeColor="text1"/>
          <w:szCs w:val="24"/>
          <w:shd w:val="clear" w:color="auto" w:fill="FFFFFE"/>
          <w:lang w:eastAsia="es-CO"/>
        </w:rPr>
        <w:t xml:space="preserve"> ibídem.</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 </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 xml:space="preserve">Los supuestos fácticos expuestos en el caso materia de análisis plantean el caso de profesionales que prestan sus servicios de forma independiente tales como: médicos, abogados, contadores públicos, entre otros, respecto de los cuales este despacho puede establecer que se trata de profesiones liberales, las cuales en los términos del </w:t>
      </w:r>
      <w:r w:rsidRPr="006B71D8">
        <w:rPr>
          <w:rFonts w:eastAsia="Times New Roman"/>
          <w:color w:val="000000" w:themeColor="text1"/>
          <w:szCs w:val="24"/>
          <w:shd w:val="clear" w:color="auto" w:fill="FFFFFF"/>
          <w:lang w:eastAsia="es-CO"/>
        </w:rPr>
        <w:t xml:space="preserve">artículo 1° del </w:t>
      </w:r>
      <w:r w:rsidRPr="006B71D8">
        <w:rPr>
          <w:rFonts w:eastAsia="Times New Roman"/>
          <w:color w:val="000000" w:themeColor="text1"/>
          <w:szCs w:val="24"/>
          <w:lang w:eastAsia="es-CO"/>
        </w:rPr>
        <w:t>Decreto 3032 de 2013</w:t>
      </w:r>
      <w:r w:rsidRPr="006B71D8">
        <w:rPr>
          <w:rFonts w:eastAsia="Times New Roman"/>
          <w:color w:val="000000" w:themeColor="text1"/>
          <w:szCs w:val="24"/>
          <w:shd w:val="clear" w:color="auto" w:fill="FFFFFF"/>
          <w:lang w:eastAsia="es-CO"/>
        </w:rPr>
        <w:t xml:space="preserve"> se definen:</w:t>
      </w:r>
    </w:p>
    <w:p w:rsidR="006B71D8" w:rsidRPr="006B71D8" w:rsidRDefault="006B71D8" w:rsidP="00FA73E5">
      <w:pPr>
        <w:spacing w:line="240" w:lineRule="auto"/>
        <w:rPr>
          <w:rFonts w:eastAsia="Times New Roman"/>
          <w:color w:val="000000" w:themeColor="text1"/>
          <w:szCs w:val="24"/>
          <w:lang w:eastAsia="es-CO"/>
        </w:rPr>
      </w:pPr>
      <w:r w:rsidRPr="006B71D8">
        <w:rPr>
          <w:rFonts w:eastAsia="Times New Roman"/>
          <w:color w:val="000000" w:themeColor="text1"/>
          <w:szCs w:val="24"/>
          <w:lang w:eastAsia="es-CO"/>
        </w:rPr>
        <w:t> </w:t>
      </w:r>
    </w:p>
    <w:p w:rsidR="006B71D8" w:rsidRPr="006B71D8" w:rsidRDefault="006B71D8" w:rsidP="00FA73E5">
      <w:pPr>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F"/>
          <w:lang w:eastAsia="es-CO"/>
        </w:rPr>
        <w:t>(...)</w:t>
      </w:r>
    </w:p>
    <w:p w:rsidR="00FA73E5" w:rsidRDefault="00FA73E5" w:rsidP="00FA73E5">
      <w:pPr>
        <w:shd w:val="clear" w:color="auto" w:fill="FFFFFF"/>
        <w:spacing w:line="240" w:lineRule="auto"/>
        <w:rPr>
          <w:rFonts w:eastAsia="Times New Roman"/>
          <w:b/>
          <w:color w:val="000000" w:themeColor="text1"/>
          <w:szCs w:val="24"/>
          <w:shd w:val="clear" w:color="auto" w:fill="FFFFFF"/>
          <w:lang w:eastAsia="es-CO"/>
        </w:rPr>
      </w:pPr>
    </w:p>
    <w:p w:rsidR="006B71D8" w:rsidRPr="006B71D8" w:rsidRDefault="006B71D8" w:rsidP="00FA73E5">
      <w:pPr>
        <w:shd w:val="clear" w:color="auto" w:fill="FFFFFF"/>
        <w:spacing w:line="240" w:lineRule="auto"/>
        <w:rPr>
          <w:rFonts w:eastAsia="Times New Roman"/>
          <w:color w:val="000000" w:themeColor="text1"/>
          <w:szCs w:val="24"/>
          <w:lang w:eastAsia="es-CO"/>
        </w:rPr>
      </w:pPr>
      <w:r w:rsidRPr="006B71D8">
        <w:rPr>
          <w:rFonts w:eastAsia="Times New Roman"/>
          <w:b/>
          <w:color w:val="000000" w:themeColor="text1"/>
          <w:szCs w:val="24"/>
          <w:shd w:val="clear" w:color="auto" w:fill="FFFFFF"/>
          <w:lang w:eastAsia="es-CO"/>
        </w:rPr>
        <w:t xml:space="preserve">Profesión liberal: </w:t>
      </w:r>
      <w:r w:rsidRPr="006B71D8">
        <w:rPr>
          <w:rFonts w:eastAsia="Times New Roman"/>
          <w:color w:val="000000" w:themeColor="text1"/>
          <w:szCs w:val="24"/>
          <w:shd w:val="clear" w:color="auto" w:fill="FFFFFF"/>
          <w:lang w:eastAsia="es-CO"/>
        </w:rPr>
        <w:t>Se entiende por profesión liberal, toda actividad personal en la cual predomina el ejercicio del intelecto, reconocida por el Estado y para cuyo ejercicio se requiere:</w:t>
      </w:r>
    </w:p>
    <w:p w:rsidR="006B71D8" w:rsidRPr="006B71D8" w:rsidRDefault="006B71D8" w:rsidP="00FA73E5">
      <w:pPr>
        <w:shd w:val="clear" w:color="auto" w:fill="FFFFFF"/>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F"/>
          <w:lang w:eastAsia="es-CO"/>
        </w:rPr>
        <w:t> </w:t>
      </w:r>
    </w:p>
    <w:p w:rsidR="006B71D8" w:rsidRPr="006B71D8" w:rsidRDefault="006B71D8" w:rsidP="00FA73E5">
      <w:pPr>
        <w:shd w:val="clear" w:color="auto" w:fill="FFFFFF"/>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F"/>
          <w:lang w:eastAsia="es-CO"/>
        </w:rPr>
        <w:t>1. Habilitación mediante título académico de estudios y grado de educación superior; o habilitación Estatal para las personas que sin título profesional fueron autorizadas para ejercer.</w:t>
      </w:r>
    </w:p>
    <w:p w:rsidR="006B71D8" w:rsidRPr="006B71D8" w:rsidRDefault="006B71D8" w:rsidP="00FA73E5">
      <w:pPr>
        <w:shd w:val="clear" w:color="auto" w:fill="FFFFFF"/>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F"/>
          <w:lang w:eastAsia="es-CO"/>
        </w:rPr>
        <w:t>2. Inscripción en el registro nacional que las autoridades estatales de vigilancia, control y disciplinarias lleven conforme con la ley que regula la profesión liberal de que se trate, cuando la misma esté oficialmente reglada.</w:t>
      </w:r>
    </w:p>
    <w:p w:rsidR="006B71D8" w:rsidRPr="006B71D8" w:rsidRDefault="006B71D8" w:rsidP="00FA73E5">
      <w:pPr>
        <w:shd w:val="clear" w:color="auto" w:fill="FFFFFF"/>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F"/>
          <w:lang w:eastAsia="es-CO"/>
        </w:rPr>
        <w:t> </w:t>
      </w:r>
    </w:p>
    <w:p w:rsidR="006B71D8" w:rsidRPr="006B71D8" w:rsidRDefault="006B71D8" w:rsidP="00FA73E5">
      <w:pPr>
        <w:shd w:val="clear" w:color="auto" w:fill="FFFFFF"/>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F"/>
          <w:lang w:eastAsia="es-CO"/>
        </w:rPr>
        <w:t>Se entiende que una persona ejerce una profesión liberal cuando realiza labores propias de tal profesión, independientemente de si tiene las habilitaciones o registros establecidos en las normas vigentes.</w:t>
      </w:r>
    </w:p>
    <w:p w:rsidR="006B71D8" w:rsidRPr="006B71D8" w:rsidRDefault="006B71D8" w:rsidP="00FA73E5">
      <w:pPr>
        <w:shd w:val="clear" w:color="auto" w:fill="FFFFFF"/>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F"/>
          <w:lang w:eastAsia="es-CO"/>
        </w:rPr>
        <w:t>(...)</w:t>
      </w:r>
    </w:p>
    <w:p w:rsidR="006B71D8" w:rsidRPr="006B71D8" w:rsidRDefault="006B71D8" w:rsidP="00FA73E5">
      <w:pPr>
        <w:shd w:val="clear" w:color="auto" w:fill="FFFFFF"/>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F"/>
          <w:lang w:eastAsia="es-CO"/>
        </w:rPr>
        <w:t> </w:t>
      </w:r>
    </w:p>
    <w:p w:rsidR="006B71D8" w:rsidRPr="006B71D8" w:rsidRDefault="006B71D8" w:rsidP="00FA73E5">
      <w:pPr>
        <w:shd w:val="clear" w:color="auto" w:fill="FFFFFF"/>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F"/>
          <w:lang w:eastAsia="es-CO"/>
        </w:rPr>
        <w:t>Lo anterior sin perjuicio del análisis que se deba hacer en cada caso en particular, pues esta aproximación se hace con base en los supuestos fácticos expuestos en la consulta.</w:t>
      </w:r>
    </w:p>
    <w:p w:rsidR="006B71D8" w:rsidRPr="006B71D8" w:rsidRDefault="006B71D8" w:rsidP="00FA73E5">
      <w:pPr>
        <w:shd w:val="clear" w:color="auto" w:fill="FFFFFF"/>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F"/>
          <w:lang w:eastAsia="es-CO"/>
        </w:rPr>
        <w:t> </w:t>
      </w:r>
    </w:p>
    <w:p w:rsidR="006B71D8" w:rsidRPr="006B71D8" w:rsidRDefault="006B71D8" w:rsidP="00FA73E5">
      <w:pPr>
        <w:shd w:val="clear" w:color="auto" w:fill="FFFFFF"/>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F"/>
          <w:lang w:eastAsia="es-CO"/>
        </w:rPr>
        <w:t xml:space="preserve">En ese orden de ideas, para el caso planteado será viable clasificar a estas personas naturales en la categoría tributaria de empleado, si sus ingresos provienen en más de un 80% del desarrollo de su actividad y cumplen con lo señalado en el </w:t>
      </w:r>
      <w:hyperlink r:id="rId15" w:tooltip="Estatuto Tributario CETA" w:history="1">
        <w:r w:rsidRPr="006B71D8">
          <w:rPr>
            <w:rFonts w:eastAsia="Times New Roman"/>
            <w:color w:val="000000" w:themeColor="text1"/>
            <w:szCs w:val="24"/>
            <w:u w:val="single"/>
            <w:shd w:val="clear" w:color="auto" w:fill="FFFFFF"/>
            <w:lang w:eastAsia="es-CO"/>
          </w:rPr>
          <w:t>artículo 329</w:t>
        </w:r>
      </w:hyperlink>
      <w:r w:rsidRPr="006B71D8">
        <w:rPr>
          <w:rFonts w:eastAsia="Times New Roman"/>
          <w:color w:val="000000" w:themeColor="text1"/>
          <w:szCs w:val="24"/>
          <w:shd w:val="clear" w:color="auto" w:fill="FFFFFF"/>
          <w:lang w:eastAsia="es-CO"/>
        </w:rPr>
        <w:t xml:space="preserve"> de </w:t>
      </w:r>
      <w:r w:rsidRPr="006B71D8">
        <w:rPr>
          <w:rFonts w:eastAsia="Times New Roman"/>
          <w:color w:val="000000" w:themeColor="text1"/>
          <w:szCs w:val="24"/>
          <w:lang w:eastAsia="es-CO"/>
        </w:rPr>
        <w:t>Estatuto Tributario</w:t>
      </w:r>
      <w:r w:rsidRPr="006B71D8">
        <w:rPr>
          <w:rFonts w:eastAsia="Times New Roman"/>
          <w:color w:val="000000" w:themeColor="text1"/>
          <w:szCs w:val="24"/>
          <w:shd w:val="clear" w:color="auto" w:fill="FFFFFF"/>
          <w:lang w:eastAsia="es-CO"/>
        </w:rPr>
        <w:t xml:space="preserve"> y el </w:t>
      </w:r>
      <w:r w:rsidRPr="006B71D8">
        <w:rPr>
          <w:rFonts w:eastAsia="Times New Roman"/>
          <w:color w:val="000000" w:themeColor="text1"/>
          <w:szCs w:val="24"/>
          <w:lang w:eastAsia="es-CO"/>
        </w:rPr>
        <w:t>Decreto 3032 de 2013</w:t>
      </w:r>
      <w:r w:rsidRPr="006B71D8">
        <w:rPr>
          <w:rFonts w:eastAsia="Times New Roman"/>
          <w:color w:val="000000" w:themeColor="text1"/>
          <w:szCs w:val="24"/>
          <w:shd w:val="clear" w:color="auto" w:fill="FFFFFF"/>
          <w:lang w:eastAsia="es-CO"/>
        </w:rPr>
        <w:t>, con las siguientes precisiones:</w:t>
      </w:r>
    </w:p>
    <w:p w:rsidR="006B71D8" w:rsidRPr="006B71D8" w:rsidRDefault="006B71D8" w:rsidP="00FA73E5">
      <w:pPr>
        <w:shd w:val="clear" w:color="auto" w:fill="FFFFFF"/>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F"/>
          <w:lang w:eastAsia="es-CO"/>
        </w:rPr>
        <w:t> </w:t>
      </w:r>
    </w:p>
    <w:p w:rsidR="006B71D8" w:rsidRDefault="006B71D8" w:rsidP="00FA73E5">
      <w:pPr>
        <w:shd w:val="clear" w:color="auto" w:fill="FFFFFF"/>
        <w:tabs>
          <w:tab w:val="left" w:pos="284"/>
        </w:tabs>
        <w:spacing w:line="240" w:lineRule="auto"/>
        <w:ind w:hanging="284"/>
        <w:rPr>
          <w:rFonts w:eastAsia="Times New Roman"/>
          <w:color w:val="000000" w:themeColor="text1"/>
          <w:szCs w:val="24"/>
          <w:shd w:val="clear" w:color="auto" w:fill="FFFFFF"/>
          <w:lang w:eastAsia="es-CO"/>
        </w:rPr>
      </w:pPr>
      <w:r w:rsidRPr="006B71D8">
        <w:rPr>
          <w:rFonts w:eastAsia="Symbol"/>
          <w:color w:val="000000" w:themeColor="text1"/>
          <w:szCs w:val="24"/>
          <w:lang w:eastAsia="es-CO"/>
        </w:rPr>
        <w:t xml:space="preserve">·      </w:t>
      </w:r>
      <w:r w:rsidRPr="006B71D8">
        <w:rPr>
          <w:rFonts w:eastAsia="Times New Roman"/>
          <w:color w:val="000000" w:themeColor="text1"/>
          <w:szCs w:val="24"/>
          <w:shd w:val="clear" w:color="auto" w:fill="FFFFFF"/>
          <w:lang w:eastAsia="es-CO"/>
        </w:rPr>
        <w:t xml:space="preserve">Obligatoriamente deben calcular el impuesto de renta y complementario por el sistema IMAN y por el sistema contemplado en el Título I del Libro I del </w:t>
      </w:r>
      <w:r w:rsidRPr="006B71D8">
        <w:rPr>
          <w:rFonts w:eastAsia="Times New Roman"/>
          <w:color w:val="000000" w:themeColor="text1"/>
          <w:szCs w:val="24"/>
          <w:lang w:eastAsia="es-CO"/>
        </w:rPr>
        <w:t>Estatuto Tributario</w:t>
      </w:r>
      <w:r w:rsidRPr="006B71D8">
        <w:rPr>
          <w:rFonts w:eastAsia="Times New Roman"/>
          <w:color w:val="000000" w:themeColor="text1"/>
          <w:szCs w:val="24"/>
          <w:shd w:val="clear" w:color="auto" w:fill="FFFFFF"/>
          <w:lang w:eastAsia="es-CO"/>
        </w:rPr>
        <w:t xml:space="preserve"> (sistema ordinario y renta presuntiva), con el fin de poder compararlos.</w:t>
      </w:r>
    </w:p>
    <w:p w:rsidR="006B71D8" w:rsidRPr="006B71D8" w:rsidRDefault="006B71D8" w:rsidP="00FA73E5">
      <w:pPr>
        <w:shd w:val="clear" w:color="auto" w:fill="FFFFFF"/>
        <w:tabs>
          <w:tab w:val="left" w:pos="284"/>
        </w:tabs>
        <w:spacing w:line="240" w:lineRule="auto"/>
        <w:ind w:hanging="284"/>
        <w:rPr>
          <w:rFonts w:eastAsia="Times New Roman"/>
          <w:color w:val="000000" w:themeColor="text1"/>
          <w:szCs w:val="24"/>
          <w:lang w:eastAsia="es-CO"/>
        </w:rPr>
      </w:pPr>
    </w:p>
    <w:p w:rsidR="006B71D8" w:rsidRPr="006B71D8" w:rsidRDefault="006B71D8" w:rsidP="00FA73E5">
      <w:pPr>
        <w:shd w:val="clear" w:color="auto" w:fill="FFFFFF"/>
        <w:tabs>
          <w:tab w:val="left" w:pos="284"/>
        </w:tabs>
        <w:spacing w:line="240" w:lineRule="auto"/>
        <w:ind w:hanging="284"/>
        <w:rPr>
          <w:rFonts w:eastAsia="Times New Roman"/>
          <w:color w:val="000000" w:themeColor="text1"/>
          <w:szCs w:val="24"/>
          <w:lang w:eastAsia="es-CO"/>
        </w:rPr>
      </w:pPr>
      <w:r w:rsidRPr="006B71D8">
        <w:rPr>
          <w:rFonts w:eastAsia="Symbol"/>
          <w:color w:val="000000" w:themeColor="text1"/>
          <w:szCs w:val="24"/>
          <w:lang w:eastAsia="es-CO"/>
        </w:rPr>
        <w:t xml:space="preserve">·      </w:t>
      </w:r>
      <w:r w:rsidRPr="006B71D8">
        <w:rPr>
          <w:rFonts w:eastAsia="Times New Roman"/>
          <w:color w:val="000000" w:themeColor="text1"/>
          <w:szCs w:val="24"/>
          <w:shd w:val="clear" w:color="auto" w:fill="FFFFFF"/>
          <w:lang w:eastAsia="es-CO"/>
        </w:rPr>
        <w:t xml:space="preserve">Si su Renta Gravable Alternativa (RGA) calculada de acuerdo con el </w:t>
      </w:r>
      <w:hyperlink r:id="rId16" w:tooltip="Estatuto Tributario CETA" w:history="1">
        <w:r w:rsidRPr="006B71D8">
          <w:rPr>
            <w:rFonts w:eastAsia="Times New Roman"/>
            <w:color w:val="000000" w:themeColor="text1"/>
            <w:szCs w:val="24"/>
            <w:u w:val="single"/>
            <w:shd w:val="clear" w:color="auto" w:fill="FFFFFF"/>
            <w:lang w:eastAsia="es-CO"/>
          </w:rPr>
          <w:t>art. 332</w:t>
        </w:r>
      </w:hyperlink>
      <w:r w:rsidRPr="006B71D8">
        <w:rPr>
          <w:rFonts w:eastAsia="Times New Roman"/>
          <w:color w:val="000000" w:themeColor="text1"/>
          <w:szCs w:val="24"/>
          <w:shd w:val="clear" w:color="auto" w:fill="FFFFFF"/>
          <w:lang w:eastAsia="es-CO"/>
        </w:rPr>
        <w:t xml:space="preserve"> del </w:t>
      </w:r>
      <w:r w:rsidRPr="006B71D8">
        <w:rPr>
          <w:rFonts w:eastAsia="Times New Roman"/>
          <w:color w:val="000000" w:themeColor="text1"/>
          <w:szCs w:val="24"/>
          <w:lang w:eastAsia="es-CO"/>
        </w:rPr>
        <w:t>Estatuto Tributario</w:t>
      </w:r>
      <w:r w:rsidRPr="006B71D8">
        <w:rPr>
          <w:rFonts w:eastAsia="Times New Roman"/>
          <w:color w:val="000000" w:themeColor="text1"/>
          <w:szCs w:val="24"/>
          <w:shd w:val="clear" w:color="auto" w:fill="FFFFFF"/>
          <w:lang w:eastAsia="es-CO"/>
        </w:rPr>
        <w:t xml:space="preserve"> es inferior a 4.700 UVT ($126.152.700 para el año 2013), podrán declarar y pagar su impuesto sobre la renta y complementarios bajo el sistema IMAS.</w:t>
      </w:r>
    </w:p>
    <w:p w:rsidR="006B71D8" w:rsidRDefault="006B71D8" w:rsidP="00FA73E5">
      <w:pPr>
        <w:shd w:val="clear" w:color="auto" w:fill="FFFFFF"/>
        <w:tabs>
          <w:tab w:val="left" w:pos="284"/>
        </w:tabs>
        <w:spacing w:line="240" w:lineRule="auto"/>
        <w:ind w:hanging="284"/>
        <w:rPr>
          <w:rFonts w:eastAsia="Symbol"/>
          <w:color w:val="000000" w:themeColor="text1"/>
          <w:szCs w:val="24"/>
          <w:lang w:eastAsia="es-CO"/>
        </w:rPr>
      </w:pPr>
      <w:r w:rsidRPr="006B71D8">
        <w:rPr>
          <w:rFonts w:eastAsia="Symbol"/>
          <w:color w:val="000000" w:themeColor="text1"/>
          <w:szCs w:val="24"/>
          <w:lang w:eastAsia="es-CO"/>
        </w:rPr>
        <w:t xml:space="preserve">·      </w:t>
      </w:r>
    </w:p>
    <w:p w:rsidR="006B71D8" w:rsidRPr="00FA73E5" w:rsidRDefault="00FA73E5" w:rsidP="00FA73E5">
      <w:pPr>
        <w:shd w:val="clear" w:color="auto" w:fill="FFFFFF"/>
        <w:tabs>
          <w:tab w:val="left" w:pos="284"/>
        </w:tabs>
        <w:spacing w:line="240" w:lineRule="auto"/>
        <w:ind w:hanging="284"/>
        <w:rPr>
          <w:rFonts w:eastAsia="Times New Roman"/>
          <w:b/>
          <w:color w:val="000000" w:themeColor="text1"/>
          <w:szCs w:val="24"/>
          <w:lang w:eastAsia="es-CO"/>
        </w:rPr>
      </w:pPr>
      <w:r>
        <w:rPr>
          <w:rFonts w:eastAsia="Times New Roman"/>
          <w:b/>
          <w:color w:val="000000" w:themeColor="text1"/>
          <w:szCs w:val="24"/>
          <w:shd w:val="clear" w:color="auto" w:fill="FFFFFF"/>
          <w:lang w:eastAsia="es-CO"/>
        </w:rPr>
        <w:lastRenderedPageBreak/>
        <w:tab/>
      </w:r>
      <w:r w:rsidR="006B71D8" w:rsidRPr="00FA73E5">
        <w:rPr>
          <w:rFonts w:eastAsia="Times New Roman"/>
          <w:b/>
          <w:color w:val="000000" w:themeColor="text1"/>
          <w:szCs w:val="24"/>
          <w:shd w:val="clear" w:color="auto" w:fill="FFFFFF"/>
          <w:lang w:eastAsia="es-CO"/>
        </w:rPr>
        <w:t>Los costos y gastos inherentes a su actividad, sólo serán factores de depuración en el sistema ordinario.</w:t>
      </w:r>
    </w:p>
    <w:p w:rsidR="006B71D8" w:rsidRDefault="006B71D8" w:rsidP="00FA73E5">
      <w:pPr>
        <w:shd w:val="clear" w:color="auto" w:fill="FFFFFF"/>
        <w:tabs>
          <w:tab w:val="left" w:pos="284"/>
        </w:tabs>
        <w:spacing w:line="240" w:lineRule="auto"/>
        <w:ind w:hanging="284"/>
        <w:rPr>
          <w:rFonts w:eastAsia="Symbol"/>
          <w:color w:val="000000" w:themeColor="text1"/>
          <w:szCs w:val="24"/>
          <w:lang w:eastAsia="es-CO"/>
        </w:rPr>
      </w:pPr>
      <w:r w:rsidRPr="006B71D8">
        <w:rPr>
          <w:rFonts w:eastAsia="Symbol"/>
          <w:color w:val="000000" w:themeColor="text1"/>
          <w:szCs w:val="24"/>
          <w:lang w:eastAsia="es-CO"/>
        </w:rPr>
        <w:t xml:space="preserve">     </w:t>
      </w:r>
    </w:p>
    <w:p w:rsidR="006B71D8" w:rsidRPr="00FA73E5" w:rsidRDefault="00FA73E5" w:rsidP="00FA73E5">
      <w:pPr>
        <w:shd w:val="clear" w:color="auto" w:fill="FFFFFF"/>
        <w:tabs>
          <w:tab w:val="left" w:pos="284"/>
        </w:tabs>
        <w:spacing w:line="240" w:lineRule="auto"/>
        <w:ind w:hanging="284"/>
        <w:rPr>
          <w:rFonts w:eastAsia="Times New Roman"/>
          <w:color w:val="000000" w:themeColor="text1"/>
          <w:szCs w:val="24"/>
          <w:shd w:val="clear" w:color="auto" w:fill="FFFFFF"/>
          <w:lang w:eastAsia="es-CO"/>
        </w:rPr>
      </w:pPr>
      <w:r>
        <w:rPr>
          <w:rFonts w:eastAsia="Times New Roman"/>
          <w:color w:val="000000" w:themeColor="text1"/>
          <w:szCs w:val="24"/>
          <w:shd w:val="clear" w:color="auto" w:fill="FFFFFF"/>
          <w:lang w:eastAsia="es-CO"/>
        </w:rPr>
        <w:tab/>
      </w:r>
      <w:r w:rsidR="006B71D8" w:rsidRPr="006B71D8">
        <w:rPr>
          <w:rFonts w:eastAsia="Times New Roman"/>
          <w:color w:val="000000" w:themeColor="text1"/>
          <w:szCs w:val="24"/>
          <w:shd w:val="clear" w:color="auto" w:fill="FFFFFF"/>
          <w:lang w:eastAsia="es-CO"/>
        </w:rPr>
        <w:t xml:space="preserve">En concordancia con lo anterior, en el caso que al </w:t>
      </w:r>
      <w:r>
        <w:rPr>
          <w:rFonts w:eastAsia="Times New Roman"/>
          <w:color w:val="000000" w:themeColor="text1"/>
          <w:szCs w:val="24"/>
          <w:shd w:val="clear" w:color="auto" w:fill="FFFFFF"/>
          <w:lang w:eastAsia="es-CO"/>
        </w:rPr>
        <w:t xml:space="preserve">calcular el impuesto de renta y </w:t>
      </w:r>
      <w:r w:rsidR="006B71D8" w:rsidRPr="006B71D8">
        <w:rPr>
          <w:rFonts w:eastAsia="Times New Roman"/>
          <w:color w:val="000000" w:themeColor="text1"/>
          <w:szCs w:val="24"/>
          <w:shd w:val="clear" w:color="auto" w:fill="FFFFFF"/>
          <w:lang w:eastAsia="es-CO"/>
        </w:rPr>
        <w:t xml:space="preserve">complementario por el sistema IMAN este resulte mayor que por el sistema contemplado en el Título I del Libro I del </w:t>
      </w:r>
      <w:r w:rsidR="006B71D8" w:rsidRPr="006B71D8">
        <w:rPr>
          <w:rFonts w:eastAsia="Times New Roman"/>
          <w:color w:val="000000" w:themeColor="text1"/>
          <w:szCs w:val="24"/>
          <w:lang w:eastAsia="es-CO"/>
        </w:rPr>
        <w:t>Estatuto Tributario</w:t>
      </w:r>
      <w:r w:rsidR="006B71D8" w:rsidRPr="006B71D8">
        <w:rPr>
          <w:rFonts w:eastAsia="Times New Roman"/>
          <w:color w:val="000000" w:themeColor="text1"/>
          <w:szCs w:val="24"/>
          <w:shd w:val="clear" w:color="auto" w:fill="FFFFFF"/>
          <w:lang w:eastAsia="es-CO"/>
        </w:rPr>
        <w:t xml:space="preserve"> (sistema ordinario y renta presuntiva), este no admite para su cálculo depuraciones, deducciones ni aminoraciones estructurales, salvo las previstas en el </w:t>
      </w:r>
      <w:hyperlink r:id="rId17" w:tooltip="Estatuto Tributario CETA" w:history="1">
        <w:r w:rsidR="006B71D8" w:rsidRPr="006B71D8">
          <w:rPr>
            <w:rFonts w:eastAsia="Times New Roman"/>
            <w:color w:val="000000" w:themeColor="text1"/>
            <w:szCs w:val="24"/>
            <w:u w:val="single"/>
            <w:shd w:val="clear" w:color="auto" w:fill="FFFFFF"/>
            <w:lang w:eastAsia="es-CO"/>
          </w:rPr>
          <w:t>artículo 332</w:t>
        </w:r>
      </w:hyperlink>
      <w:r w:rsidR="006B71D8" w:rsidRPr="006B71D8">
        <w:rPr>
          <w:rFonts w:eastAsia="Times New Roman"/>
          <w:color w:val="000000" w:themeColor="text1"/>
          <w:szCs w:val="24"/>
          <w:shd w:val="clear" w:color="auto" w:fill="FFFFFF"/>
          <w:lang w:eastAsia="es-CO"/>
        </w:rPr>
        <w:t xml:space="preserve"> ibídem.</w:t>
      </w:r>
    </w:p>
    <w:p w:rsidR="006B71D8" w:rsidRPr="006B71D8" w:rsidRDefault="006B71D8" w:rsidP="00FA73E5">
      <w:pPr>
        <w:shd w:val="clear" w:color="auto" w:fill="FFFFFF"/>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F"/>
          <w:lang w:eastAsia="es-CO"/>
        </w:rPr>
        <w:t> </w:t>
      </w:r>
    </w:p>
    <w:p w:rsidR="006B71D8" w:rsidRPr="006B71D8" w:rsidRDefault="006B71D8" w:rsidP="00FA73E5">
      <w:pPr>
        <w:shd w:val="clear" w:color="auto" w:fill="FFFFFF"/>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F"/>
          <w:lang w:eastAsia="es-CO"/>
        </w:rPr>
        <w:t>En cuanto a la inquietud sobre la casilla del Formulario 210 "Declaración de Renta y Complementarios Personas Naturales y Asimiladas No Obligadas a llevar Contabilidad", en la que se deberán incluir los ingresos producto de esta actividad, es preciso concluir que la naturaleza del ingreso percibido se da en virtud de su calidad de empleado.</w:t>
      </w:r>
    </w:p>
    <w:p w:rsidR="006B71D8" w:rsidRPr="006B71D8" w:rsidRDefault="006B71D8" w:rsidP="00FA73E5">
      <w:pPr>
        <w:spacing w:line="240" w:lineRule="auto"/>
        <w:rPr>
          <w:rFonts w:eastAsia="Times New Roman"/>
          <w:color w:val="000000" w:themeColor="text1"/>
          <w:szCs w:val="24"/>
          <w:lang w:eastAsia="es-CO"/>
        </w:rPr>
      </w:pPr>
      <w:r w:rsidRPr="006B71D8">
        <w:rPr>
          <w:rFonts w:eastAsia="Times New Roman"/>
          <w:color w:val="000000" w:themeColor="text1"/>
          <w:szCs w:val="24"/>
          <w:lang w:eastAsia="es-CO"/>
        </w:rPr>
        <w:t> </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Sobre la posibilidad de deducir en el impuesto de renta aquellos costos y gastos inherentes a la actividad de aquellos profesionales que prestan sus servicios de forma independiente tales como: médicos, abogados; contadores públicos, entre otros, que pertenezcan a la categoría tributaria de empleado, el oficio 885 de 2014 al resolver la pregunta 9 establece:</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 </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9. Costos y gastos en la determinación del impuesto de renta e Impuestos descontables</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 </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 xml:space="preserve">En la determinación del impuesto de renta para las personas naturales clasificadas en la categoría tributaria de empleados, los costos y gastos relacionados con la actividad productora de renta </w:t>
      </w:r>
      <w:r w:rsidRPr="006B71D8">
        <w:rPr>
          <w:rFonts w:eastAsia="Times New Roman"/>
          <w:color w:val="000000" w:themeColor="text1"/>
          <w:szCs w:val="24"/>
          <w:u w:val="single"/>
          <w:shd w:val="clear" w:color="auto" w:fill="FFFFFE"/>
          <w:lang w:eastAsia="es-CO"/>
        </w:rPr>
        <w:t xml:space="preserve">sólo podrán detraerse en la depuración de la base gravable mediante el sistema ordinario, siempre y cuando cumplan con la totalidad de las condiciones para su aceptación contenidas en el </w:t>
      </w:r>
      <w:hyperlink r:id="rId18" w:tooltip="Estatuto Tributario CETA" w:history="1">
        <w:r w:rsidRPr="006B71D8">
          <w:rPr>
            <w:rFonts w:eastAsia="Times New Roman"/>
            <w:color w:val="000000" w:themeColor="text1"/>
            <w:szCs w:val="24"/>
            <w:u w:val="single"/>
            <w:shd w:val="clear" w:color="auto" w:fill="FFFFFE"/>
            <w:lang w:eastAsia="es-CO"/>
          </w:rPr>
          <w:t>artículo 107</w:t>
        </w:r>
      </w:hyperlink>
      <w:r w:rsidRPr="006B71D8">
        <w:rPr>
          <w:rFonts w:eastAsia="Times New Roman"/>
          <w:color w:val="000000" w:themeColor="text1"/>
          <w:szCs w:val="24"/>
          <w:u w:val="single"/>
          <w:shd w:val="clear" w:color="auto" w:fill="FFFFFE"/>
          <w:lang w:eastAsia="es-CO"/>
        </w:rPr>
        <w:t xml:space="preserve"> del </w:t>
      </w:r>
      <w:r w:rsidRPr="006B71D8">
        <w:rPr>
          <w:rFonts w:eastAsia="Times New Roman"/>
          <w:color w:val="000000" w:themeColor="text1"/>
          <w:szCs w:val="24"/>
          <w:u w:val="single"/>
          <w:lang w:eastAsia="es-CO"/>
        </w:rPr>
        <w:t>Estatuto Tributario</w:t>
      </w:r>
      <w:r w:rsidRPr="006B71D8">
        <w:rPr>
          <w:rFonts w:eastAsia="Times New Roman"/>
          <w:color w:val="000000" w:themeColor="text1"/>
          <w:szCs w:val="24"/>
          <w:u w:val="single"/>
          <w:shd w:val="clear" w:color="auto" w:fill="FFFFFE"/>
          <w:lang w:eastAsia="es-CO"/>
        </w:rPr>
        <w:t xml:space="preserve"> y demás normas concordantes y complementarias</w:t>
      </w:r>
      <w:r w:rsidRPr="006B71D8">
        <w:rPr>
          <w:rFonts w:eastAsia="Times New Roman"/>
          <w:color w:val="000000" w:themeColor="text1"/>
          <w:szCs w:val="24"/>
          <w:shd w:val="clear" w:color="auto" w:fill="FFFFFE"/>
          <w:lang w:eastAsia="es-CO"/>
        </w:rPr>
        <w:t>.</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 </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 xml:space="preserve">La anterior conclusión tiene como fundamento jurídico el </w:t>
      </w:r>
      <w:hyperlink r:id="rId19" w:tooltip="Estatuto Tributario CETA" w:history="1">
        <w:r w:rsidRPr="006B71D8">
          <w:rPr>
            <w:rFonts w:eastAsia="Times New Roman"/>
            <w:color w:val="000000" w:themeColor="text1"/>
            <w:szCs w:val="24"/>
            <w:u w:val="single"/>
            <w:shd w:val="clear" w:color="auto" w:fill="FFFFFE"/>
            <w:lang w:eastAsia="es-CO"/>
          </w:rPr>
          <w:t>artículo 331</w:t>
        </w:r>
      </w:hyperlink>
      <w:r w:rsidRPr="006B71D8">
        <w:rPr>
          <w:rFonts w:eastAsia="Times New Roman"/>
          <w:color w:val="000000" w:themeColor="text1"/>
          <w:szCs w:val="24"/>
          <w:shd w:val="clear" w:color="auto" w:fill="FFFFFE"/>
          <w:lang w:eastAsia="es-CO"/>
        </w:rPr>
        <w:t xml:space="preserve"> del </w:t>
      </w:r>
      <w:r w:rsidRPr="006B71D8">
        <w:rPr>
          <w:rFonts w:eastAsia="Times New Roman"/>
          <w:color w:val="000000" w:themeColor="text1"/>
          <w:szCs w:val="24"/>
          <w:lang w:eastAsia="es-CO"/>
        </w:rPr>
        <w:t>Estatuto Tributario</w:t>
      </w:r>
      <w:r w:rsidRPr="006B71D8">
        <w:rPr>
          <w:rFonts w:eastAsia="Times New Roman"/>
          <w:color w:val="000000" w:themeColor="text1"/>
          <w:szCs w:val="24"/>
          <w:shd w:val="clear" w:color="auto" w:fill="FFFFFE"/>
          <w:lang w:eastAsia="es-CO"/>
        </w:rPr>
        <w:t xml:space="preserve">, que al consagrar el Impuesto Mínimo Alternativo Nacional -IMAN- para las personas naturales clasificadas en la categoría de Empleados, indica que se trata de un sistema presuntivo y obligatorio de determinación de la base gravable y alícuota del impuesto sobre la renta y complementarios, </w:t>
      </w:r>
      <w:r w:rsidRPr="006B71D8">
        <w:rPr>
          <w:rFonts w:eastAsia="Times New Roman"/>
          <w:b/>
          <w:color w:val="000000" w:themeColor="text1"/>
          <w:szCs w:val="24"/>
          <w:shd w:val="clear" w:color="auto" w:fill="FFFFFE"/>
          <w:lang w:eastAsia="es-CO"/>
        </w:rPr>
        <w:t xml:space="preserve">el cual no admite para su cálculo depuraciones, deducciones </w:t>
      </w:r>
      <w:r w:rsidRPr="006B71D8">
        <w:rPr>
          <w:rFonts w:eastAsia="Times New Roman"/>
          <w:b/>
          <w:bCs/>
          <w:color w:val="000000" w:themeColor="text1"/>
          <w:szCs w:val="24"/>
          <w:shd w:val="clear" w:color="auto" w:fill="FFFFFE"/>
          <w:lang w:eastAsia="es-CO"/>
        </w:rPr>
        <w:t xml:space="preserve">ni </w:t>
      </w:r>
      <w:r w:rsidRPr="006B71D8">
        <w:rPr>
          <w:rFonts w:eastAsia="Times New Roman"/>
          <w:b/>
          <w:color w:val="000000" w:themeColor="text1"/>
          <w:szCs w:val="24"/>
          <w:shd w:val="clear" w:color="auto" w:fill="FFFFFE"/>
          <w:lang w:eastAsia="es-CO"/>
        </w:rPr>
        <w:t xml:space="preserve">aminoraciones estructurales, salvo las previstas en el </w:t>
      </w:r>
      <w:hyperlink r:id="rId20" w:tooltip="Estatuto Tributario CETA" w:history="1">
        <w:r w:rsidRPr="006B71D8">
          <w:rPr>
            <w:rFonts w:eastAsia="Times New Roman"/>
            <w:b/>
            <w:color w:val="000000" w:themeColor="text1"/>
            <w:szCs w:val="24"/>
            <w:u w:val="single"/>
            <w:shd w:val="clear" w:color="auto" w:fill="FFFFFE"/>
            <w:lang w:eastAsia="es-CO"/>
          </w:rPr>
          <w:t>artículo 332</w:t>
        </w:r>
      </w:hyperlink>
      <w:r w:rsidRPr="006B71D8">
        <w:rPr>
          <w:rFonts w:eastAsia="Times New Roman"/>
          <w:b/>
          <w:color w:val="000000" w:themeColor="text1"/>
          <w:szCs w:val="24"/>
          <w:shd w:val="clear" w:color="auto" w:fill="FFFFFE"/>
          <w:lang w:eastAsia="es-CO"/>
        </w:rPr>
        <w:t xml:space="preserve"> ibídem.</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(Subrayado fuera del texto)</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 </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Respecto a la posibilidad de tomar el 25% de la renta exenta, para aquellos profesionales que prestan sus servicios de forma independiente tales como: médicos, abogados, contadores públicos, entre otros, que pertenezcan a la categoría tributaria de empleado y la base para el cálculo, el artículo 2° del Decreto 1070 de 2013, dispuso:</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 </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b/>
          <w:color w:val="000000" w:themeColor="text1"/>
          <w:szCs w:val="24"/>
          <w:shd w:val="clear" w:color="auto" w:fill="FFFFFE"/>
          <w:lang w:eastAsia="es-CO"/>
        </w:rPr>
        <w:t xml:space="preserve">Artículo 2º. </w:t>
      </w:r>
      <w:r w:rsidRPr="006B71D8">
        <w:rPr>
          <w:rFonts w:eastAsia="Times New Roman"/>
          <w:b/>
          <w:i/>
          <w:iCs/>
          <w:color w:val="000000" w:themeColor="text1"/>
          <w:szCs w:val="24"/>
          <w:shd w:val="clear" w:color="auto" w:fill="FFFFFE"/>
          <w:lang w:eastAsia="es-CO"/>
        </w:rPr>
        <w:t xml:space="preserve">Depuración de la base del cálculo de la retención en la fuente. </w:t>
      </w:r>
      <w:r w:rsidRPr="006B71D8">
        <w:rPr>
          <w:rFonts w:eastAsia="Times New Roman"/>
          <w:color w:val="000000" w:themeColor="text1"/>
          <w:szCs w:val="24"/>
          <w:shd w:val="clear" w:color="auto" w:fill="FFFFFE"/>
          <w:lang w:eastAsia="es-CO"/>
        </w:rPr>
        <w:t xml:space="preserve">Para obtener la base de retención en la fuente sobre los pagos o abonos en cuenta por concepto de rentas de trabajo efectuados </w:t>
      </w:r>
      <w:r w:rsidRPr="006B71D8">
        <w:rPr>
          <w:rFonts w:eastAsia="Times New Roman"/>
          <w:color w:val="000000" w:themeColor="text1"/>
          <w:szCs w:val="24"/>
          <w:u w:val="single"/>
          <w:shd w:val="clear" w:color="auto" w:fill="FFFFFE"/>
          <w:lang w:eastAsia="es-CO"/>
        </w:rPr>
        <w:t>a las personas naturales pertenecientes a la categoría de empleados</w:t>
      </w:r>
      <w:r w:rsidRPr="006B71D8">
        <w:rPr>
          <w:rFonts w:eastAsia="Times New Roman"/>
          <w:color w:val="000000" w:themeColor="text1"/>
          <w:szCs w:val="24"/>
          <w:shd w:val="clear" w:color="auto" w:fill="FFFFFE"/>
          <w:lang w:eastAsia="es-CO"/>
        </w:rPr>
        <w:t>, se podrán detraer los siguientes factores:</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 </w:t>
      </w:r>
    </w:p>
    <w:p w:rsidR="006B71D8" w:rsidRPr="006B71D8" w:rsidRDefault="006B71D8" w:rsidP="00FA73E5">
      <w:pPr>
        <w:pStyle w:val="Prrafodelista"/>
        <w:numPr>
          <w:ilvl w:val="0"/>
          <w:numId w:val="1"/>
        </w:numPr>
        <w:shd w:val="clear" w:color="auto" w:fill="FFFFFE"/>
        <w:spacing w:line="240" w:lineRule="auto"/>
        <w:ind w:left="0"/>
        <w:rPr>
          <w:rFonts w:eastAsia="Times New Roman"/>
          <w:color w:val="000000" w:themeColor="text1"/>
          <w:szCs w:val="24"/>
          <w:shd w:val="clear" w:color="auto" w:fill="FFFFFE"/>
          <w:lang w:eastAsia="es-CO"/>
        </w:rPr>
      </w:pPr>
      <w:r w:rsidRPr="006B71D8">
        <w:rPr>
          <w:rFonts w:eastAsia="Times New Roman"/>
          <w:color w:val="000000" w:themeColor="text1"/>
          <w:szCs w:val="24"/>
          <w:shd w:val="clear" w:color="auto" w:fill="FFFFFE"/>
          <w:lang w:eastAsia="es-CO"/>
        </w:rPr>
        <w:t>Los ingresos que la ley de manera taxativa prevé como no constitutivos de renta ni ganancia ocasional.</w:t>
      </w:r>
    </w:p>
    <w:p w:rsidR="006B71D8" w:rsidRPr="006B71D8" w:rsidRDefault="006B71D8" w:rsidP="00FA73E5">
      <w:pPr>
        <w:pStyle w:val="Prrafodelista"/>
        <w:shd w:val="clear" w:color="auto" w:fill="FFFFFE"/>
        <w:spacing w:line="240" w:lineRule="auto"/>
        <w:ind w:left="0"/>
        <w:rPr>
          <w:rFonts w:eastAsia="Times New Roman"/>
          <w:color w:val="000000" w:themeColor="text1"/>
          <w:szCs w:val="24"/>
          <w:lang w:eastAsia="es-CO"/>
        </w:rPr>
      </w:pPr>
    </w:p>
    <w:p w:rsidR="00FA73E5" w:rsidRDefault="006B71D8" w:rsidP="00FA73E5">
      <w:pPr>
        <w:pStyle w:val="Prrafodelista"/>
        <w:numPr>
          <w:ilvl w:val="0"/>
          <w:numId w:val="1"/>
        </w:numPr>
        <w:shd w:val="clear" w:color="auto" w:fill="FFFFFE"/>
        <w:spacing w:line="240" w:lineRule="auto"/>
        <w:ind w:left="0"/>
        <w:rPr>
          <w:rFonts w:eastAsia="Times New Roman"/>
          <w:color w:val="000000" w:themeColor="text1"/>
          <w:szCs w:val="24"/>
          <w:shd w:val="clear" w:color="auto" w:fill="FFFFFE"/>
          <w:lang w:eastAsia="es-CO"/>
        </w:rPr>
      </w:pPr>
      <w:r w:rsidRPr="006B71D8">
        <w:rPr>
          <w:rFonts w:eastAsia="Times New Roman"/>
          <w:color w:val="000000" w:themeColor="text1"/>
          <w:szCs w:val="24"/>
          <w:shd w:val="clear" w:color="auto" w:fill="FFFFFE"/>
          <w:lang w:eastAsia="es-CO"/>
        </w:rPr>
        <w:t xml:space="preserve">Las deducciones a que se refiere el </w:t>
      </w:r>
      <w:hyperlink r:id="rId21" w:tooltip="Estatuto Tributario CETA" w:history="1">
        <w:r w:rsidRPr="006B71D8">
          <w:rPr>
            <w:rFonts w:eastAsia="Times New Roman"/>
            <w:color w:val="000000" w:themeColor="text1"/>
            <w:szCs w:val="24"/>
            <w:u w:val="single"/>
            <w:shd w:val="clear" w:color="auto" w:fill="FFFFFE"/>
            <w:lang w:eastAsia="es-CO"/>
          </w:rPr>
          <w:t>artículo 387</w:t>
        </w:r>
      </w:hyperlink>
      <w:r w:rsidRPr="006B71D8">
        <w:rPr>
          <w:rFonts w:eastAsia="Times New Roman"/>
          <w:color w:val="000000" w:themeColor="text1"/>
          <w:szCs w:val="24"/>
          <w:shd w:val="clear" w:color="auto" w:fill="FFFFFE"/>
          <w:lang w:eastAsia="es-CO"/>
        </w:rPr>
        <w:t xml:space="preserve"> del </w:t>
      </w:r>
      <w:r w:rsidRPr="006B71D8">
        <w:rPr>
          <w:rFonts w:eastAsia="Times New Roman"/>
          <w:color w:val="000000" w:themeColor="text1"/>
          <w:szCs w:val="24"/>
          <w:lang w:eastAsia="es-CO"/>
        </w:rPr>
        <w:t>Estatuto Tributario</w:t>
      </w:r>
      <w:r w:rsidRPr="006B71D8">
        <w:rPr>
          <w:rFonts w:eastAsia="Times New Roman"/>
          <w:color w:val="000000" w:themeColor="text1"/>
          <w:szCs w:val="24"/>
          <w:shd w:val="clear" w:color="auto" w:fill="FFFFFE"/>
          <w:lang w:eastAsia="es-CO"/>
        </w:rPr>
        <w:t>, reglamentado por el artículo 2o del Decreto número 0099 de 2013.</w:t>
      </w:r>
    </w:p>
    <w:p w:rsidR="00FA73E5" w:rsidRPr="00FA73E5" w:rsidRDefault="00FA73E5" w:rsidP="00FA73E5">
      <w:pPr>
        <w:pStyle w:val="Prrafodelista"/>
        <w:rPr>
          <w:rFonts w:eastAsia="Times New Roman"/>
          <w:color w:val="000000" w:themeColor="text1"/>
          <w:szCs w:val="24"/>
          <w:shd w:val="clear" w:color="auto" w:fill="FFFFFE"/>
          <w:lang w:eastAsia="es-CO"/>
        </w:rPr>
      </w:pPr>
    </w:p>
    <w:p w:rsidR="006B71D8" w:rsidRPr="00FA73E5" w:rsidRDefault="006B71D8" w:rsidP="00FA73E5">
      <w:pPr>
        <w:pStyle w:val="Prrafodelista"/>
        <w:numPr>
          <w:ilvl w:val="0"/>
          <w:numId w:val="1"/>
        </w:numPr>
        <w:shd w:val="clear" w:color="auto" w:fill="FFFFFE"/>
        <w:spacing w:line="240" w:lineRule="auto"/>
        <w:ind w:left="0"/>
        <w:rPr>
          <w:rFonts w:eastAsia="Times New Roman"/>
          <w:color w:val="000000" w:themeColor="text1"/>
          <w:szCs w:val="24"/>
          <w:shd w:val="clear" w:color="auto" w:fill="FFFFFE"/>
          <w:lang w:eastAsia="es-CO"/>
        </w:rPr>
      </w:pPr>
      <w:r w:rsidRPr="00FA73E5">
        <w:rPr>
          <w:rFonts w:eastAsia="Times New Roman"/>
          <w:color w:val="000000" w:themeColor="text1"/>
          <w:szCs w:val="24"/>
          <w:shd w:val="clear" w:color="auto" w:fill="FFFFFE"/>
          <w:lang w:eastAsia="es-CO"/>
        </w:rPr>
        <w:t>Los aportes obligatorios al Sistema General de Seguridad Social en Salud.</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 xml:space="preserve">4. Las rentas que la ley de manera taxativa prevé como exentas en razón a su origen y beneficiario. </w:t>
      </w:r>
      <w:r w:rsidRPr="006B71D8">
        <w:rPr>
          <w:rFonts w:eastAsia="Times New Roman"/>
          <w:color w:val="000000" w:themeColor="text1"/>
          <w:szCs w:val="24"/>
          <w:u w:val="single"/>
          <w:shd w:val="clear" w:color="auto" w:fill="FFFFFE"/>
          <w:lang w:eastAsia="es-CO"/>
        </w:rPr>
        <w:t xml:space="preserve">Lo previsto en el numeral 10 del </w:t>
      </w:r>
      <w:hyperlink r:id="rId22" w:tooltip="Estatuto Tributario CETA" w:history="1">
        <w:r w:rsidRPr="006B71D8">
          <w:rPr>
            <w:rFonts w:eastAsia="Times New Roman"/>
            <w:color w:val="000000" w:themeColor="text1"/>
            <w:szCs w:val="24"/>
            <w:u w:val="single"/>
            <w:shd w:val="clear" w:color="auto" w:fill="FFFFFE"/>
            <w:lang w:eastAsia="es-CO"/>
          </w:rPr>
          <w:t>artículo 206</w:t>
        </w:r>
      </w:hyperlink>
      <w:r w:rsidRPr="006B71D8">
        <w:rPr>
          <w:rFonts w:eastAsia="Times New Roman"/>
          <w:color w:val="000000" w:themeColor="text1"/>
          <w:szCs w:val="24"/>
          <w:u w:val="single"/>
          <w:shd w:val="clear" w:color="auto" w:fill="FFFFFE"/>
          <w:lang w:eastAsia="es-CO"/>
        </w:rPr>
        <w:t xml:space="preserve"> del </w:t>
      </w:r>
      <w:r w:rsidRPr="006B71D8">
        <w:rPr>
          <w:rFonts w:eastAsia="Times New Roman"/>
          <w:color w:val="000000" w:themeColor="text1"/>
          <w:szCs w:val="24"/>
          <w:u w:val="single"/>
          <w:lang w:eastAsia="es-CO"/>
        </w:rPr>
        <w:t>Estatuto Tributario</w:t>
      </w:r>
      <w:r w:rsidRPr="006B71D8">
        <w:rPr>
          <w:rFonts w:eastAsia="Times New Roman"/>
          <w:color w:val="000000" w:themeColor="text1"/>
          <w:szCs w:val="24"/>
          <w:u w:val="single"/>
          <w:shd w:val="clear" w:color="auto" w:fill="FFFFFE"/>
          <w:lang w:eastAsia="es-CO"/>
        </w:rPr>
        <w:t xml:space="preserve"> procede </w:t>
      </w:r>
      <w:r w:rsidRPr="006B71D8">
        <w:rPr>
          <w:rFonts w:eastAsia="Times New Roman"/>
          <w:color w:val="000000" w:themeColor="text1"/>
          <w:szCs w:val="24"/>
          <w:u w:val="single"/>
          <w:shd w:val="clear" w:color="auto" w:fill="FFFFFE"/>
          <w:lang w:eastAsia="es-CO"/>
        </w:rPr>
        <w:lastRenderedPageBreak/>
        <w:t xml:space="preserve">también para las personas naturales clasificadas en la categoría de empleados cuyos pagos o abonos en cuenta no provengan de una relación laboral o legal y reglamentaria, de conformidad con lo previsto en el inciso 1o del </w:t>
      </w:r>
      <w:hyperlink r:id="rId23" w:tooltip="Estatuto Tributario CETA" w:history="1">
        <w:r w:rsidRPr="006B71D8">
          <w:rPr>
            <w:rFonts w:eastAsia="Times New Roman"/>
            <w:color w:val="000000" w:themeColor="text1"/>
            <w:szCs w:val="24"/>
            <w:u w:val="single"/>
            <w:shd w:val="clear" w:color="auto" w:fill="FFFFFE"/>
            <w:lang w:eastAsia="es-CO"/>
          </w:rPr>
          <w:t>artículo 383</w:t>
        </w:r>
      </w:hyperlink>
      <w:r w:rsidRPr="006B71D8">
        <w:rPr>
          <w:rFonts w:eastAsia="Times New Roman"/>
          <w:color w:val="000000" w:themeColor="text1"/>
          <w:szCs w:val="24"/>
          <w:u w:val="single"/>
          <w:shd w:val="clear" w:color="auto" w:fill="FFFFFE"/>
          <w:lang w:eastAsia="es-CO"/>
        </w:rPr>
        <w:t xml:space="preserve"> del </w:t>
      </w:r>
      <w:r w:rsidRPr="006B71D8">
        <w:rPr>
          <w:rFonts w:eastAsia="Times New Roman"/>
          <w:color w:val="000000" w:themeColor="text1"/>
          <w:szCs w:val="24"/>
          <w:u w:val="single"/>
          <w:lang w:eastAsia="es-CO"/>
        </w:rPr>
        <w:t>Estatuto Tributario</w:t>
      </w:r>
      <w:r w:rsidRPr="006B71D8">
        <w:rPr>
          <w:rFonts w:eastAsia="Times New Roman"/>
          <w:color w:val="000000" w:themeColor="text1"/>
          <w:szCs w:val="24"/>
          <w:shd w:val="clear" w:color="auto" w:fill="FFFFFE"/>
          <w:lang w:eastAsia="es-CO"/>
        </w:rPr>
        <w:t>.</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E"/>
          <w:lang w:eastAsia="es-CO"/>
        </w:rPr>
        <w:t>(Subrayado fuera del texto)</w:t>
      </w:r>
    </w:p>
    <w:p w:rsidR="006B71D8" w:rsidRPr="006B71D8" w:rsidRDefault="006B71D8" w:rsidP="00FA73E5">
      <w:pPr>
        <w:shd w:val="clear" w:color="auto" w:fill="FFFFFE"/>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F"/>
          <w:lang w:eastAsia="es-CO"/>
        </w:rPr>
        <w:t> </w:t>
      </w:r>
    </w:p>
    <w:p w:rsidR="006B71D8" w:rsidRPr="006B71D8" w:rsidRDefault="006B71D8" w:rsidP="00FA73E5">
      <w:pPr>
        <w:shd w:val="clear" w:color="auto" w:fill="FFFFFF"/>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F"/>
          <w:lang w:eastAsia="es-CO"/>
        </w:rPr>
        <w:t>Con base en lo anterior, este despacho se pronunció mediante concepto 013196 del 21 de febrero de 2014:</w:t>
      </w:r>
    </w:p>
    <w:p w:rsidR="006B71D8" w:rsidRPr="006B71D8" w:rsidRDefault="006B71D8" w:rsidP="00FA73E5">
      <w:pPr>
        <w:shd w:val="clear" w:color="auto" w:fill="FFFFFF"/>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F"/>
          <w:lang w:eastAsia="es-CO"/>
        </w:rPr>
        <w:t> </w:t>
      </w:r>
    </w:p>
    <w:p w:rsidR="006B71D8" w:rsidRPr="00FA73E5" w:rsidRDefault="006B71D8" w:rsidP="00FA73E5">
      <w:pPr>
        <w:shd w:val="clear" w:color="auto" w:fill="FFFFFF"/>
        <w:spacing w:line="240" w:lineRule="auto"/>
        <w:rPr>
          <w:rFonts w:eastAsia="Times New Roman"/>
          <w:b/>
          <w:color w:val="000000" w:themeColor="text1"/>
          <w:szCs w:val="24"/>
          <w:lang w:eastAsia="es-CO"/>
        </w:rPr>
      </w:pPr>
      <w:r w:rsidRPr="00FA73E5">
        <w:rPr>
          <w:rFonts w:eastAsia="Times New Roman"/>
          <w:b/>
          <w:color w:val="000000" w:themeColor="text1"/>
          <w:szCs w:val="24"/>
          <w:shd w:val="clear" w:color="auto" w:fill="FFFFFF"/>
          <w:lang w:eastAsia="es-CO"/>
        </w:rPr>
        <w:t xml:space="preserve">En este orden de ideas, </w:t>
      </w:r>
      <w:r w:rsidRPr="00FA73E5">
        <w:rPr>
          <w:rFonts w:eastAsia="Times New Roman"/>
          <w:b/>
          <w:color w:val="000000" w:themeColor="text1"/>
          <w:szCs w:val="24"/>
          <w:u w:val="single"/>
          <w:shd w:val="clear" w:color="auto" w:fill="FFFFFF"/>
          <w:lang w:eastAsia="es-CO"/>
        </w:rPr>
        <w:t>en el sistema ordinario de depuración de la renta</w:t>
      </w:r>
      <w:r w:rsidRPr="00FA73E5">
        <w:rPr>
          <w:rFonts w:eastAsia="Times New Roman"/>
          <w:b/>
          <w:color w:val="000000" w:themeColor="text1"/>
          <w:szCs w:val="24"/>
          <w:shd w:val="clear" w:color="auto" w:fill="FFFFFF"/>
          <w:lang w:eastAsia="es-CO"/>
        </w:rPr>
        <w:t xml:space="preserve">, para determinar la base de cálculo de la renta exenta del veinticinco por ciento (25%) de que trata el numeral 10° del </w:t>
      </w:r>
      <w:hyperlink r:id="rId24" w:tooltip="Estatuto Tributario CETA" w:history="1">
        <w:r w:rsidRPr="00FA73E5">
          <w:rPr>
            <w:rFonts w:eastAsia="Times New Roman"/>
            <w:b/>
            <w:color w:val="000000" w:themeColor="text1"/>
            <w:szCs w:val="24"/>
            <w:u w:val="single"/>
            <w:shd w:val="clear" w:color="auto" w:fill="FFFFFF"/>
            <w:lang w:eastAsia="es-CO"/>
          </w:rPr>
          <w:t>artículo 206</w:t>
        </w:r>
      </w:hyperlink>
      <w:r w:rsidRPr="00FA73E5">
        <w:rPr>
          <w:rFonts w:eastAsia="Times New Roman"/>
          <w:b/>
          <w:color w:val="000000" w:themeColor="text1"/>
          <w:szCs w:val="24"/>
          <w:shd w:val="clear" w:color="auto" w:fill="FFFFFF"/>
          <w:lang w:eastAsia="es-CO"/>
        </w:rPr>
        <w:t xml:space="preserve"> del </w:t>
      </w:r>
      <w:r w:rsidRPr="00FA73E5">
        <w:rPr>
          <w:rFonts w:eastAsia="Times New Roman"/>
          <w:b/>
          <w:color w:val="000000" w:themeColor="text1"/>
          <w:szCs w:val="24"/>
          <w:lang w:eastAsia="es-CO"/>
        </w:rPr>
        <w:t>Estatuto Tributario</w:t>
      </w:r>
      <w:r w:rsidRPr="00FA73E5">
        <w:rPr>
          <w:rFonts w:eastAsia="Times New Roman"/>
          <w:b/>
          <w:color w:val="000000" w:themeColor="text1"/>
          <w:szCs w:val="24"/>
          <w:shd w:val="clear" w:color="auto" w:fill="FFFFFF"/>
          <w:lang w:eastAsia="es-CO"/>
        </w:rPr>
        <w:t xml:space="preserve">, </w:t>
      </w:r>
      <w:r w:rsidRPr="00FA73E5">
        <w:rPr>
          <w:rFonts w:eastAsia="Times New Roman"/>
          <w:b/>
          <w:color w:val="000000" w:themeColor="text1"/>
          <w:szCs w:val="24"/>
          <w:u w:val="single"/>
          <w:shd w:val="clear" w:color="auto" w:fill="FFFFFF"/>
          <w:lang w:eastAsia="es-CO"/>
        </w:rPr>
        <w:t>las personas naturales pertenecientes a la categoría tributaria de empleados</w:t>
      </w:r>
      <w:r w:rsidRPr="00FA73E5">
        <w:rPr>
          <w:rFonts w:eastAsia="Times New Roman"/>
          <w:b/>
          <w:color w:val="000000" w:themeColor="text1"/>
          <w:szCs w:val="24"/>
          <w:shd w:val="clear" w:color="auto" w:fill="FFFFFF"/>
          <w:lang w:eastAsia="es-CO"/>
        </w:rPr>
        <w:t xml:space="preserve"> y aquellas no pertenecientes a dicha categoría cuyos pagos provengan de una relación laboral, o legal y reglamentaria, </w:t>
      </w:r>
      <w:r w:rsidRPr="00FA73E5">
        <w:rPr>
          <w:rFonts w:eastAsia="Times New Roman"/>
          <w:b/>
          <w:color w:val="000000" w:themeColor="text1"/>
          <w:szCs w:val="24"/>
          <w:u w:val="single"/>
          <w:shd w:val="clear" w:color="auto" w:fill="FFFFFF"/>
          <w:lang w:eastAsia="es-CO"/>
        </w:rPr>
        <w:t xml:space="preserve">podrán restar de las rentas de trabajo, los factores de depuración señalados en el artículo 2° del Decreto Reglamentario 1070 de 2013, en concordancia con el </w:t>
      </w:r>
      <w:hyperlink r:id="rId25" w:tooltip="Estatuto Tributario CETA" w:history="1">
        <w:r w:rsidRPr="00FA73E5">
          <w:rPr>
            <w:rFonts w:eastAsia="Times New Roman"/>
            <w:b/>
            <w:color w:val="000000" w:themeColor="text1"/>
            <w:szCs w:val="24"/>
            <w:u w:val="single"/>
            <w:shd w:val="clear" w:color="auto" w:fill="FFFFFF"/>
            <w:lang w:eastAsia="es-CO"/>
          </w:rPr>
          <w:t>artículo 387</w:t>
        </w:r>
      </w:hyperlink>
      <w:r w:rsidRPr="00FA73E5">
        <w:rPr>
          <w:rFonts w:eastAsia="Times New Roman"/>
          <w:b/>
          <w:color w:val="000000" w:themeColor="text1"/>
          <w:szCs w:val="24"/>
          <w:u w:val="single"/>
          <w:shd w:val="clear" w:color="auto" w:fill="FFFFFF"/>
          <w:lang w:eastAsia="es-CO"/>
        </w:rPr>
        <w:t xml:space="preserve"> del </w:t>
      </w:r>
      <w:r w:rsidRPr="00FA73E5">
        <w:rPr>
          <w:rFonts w:eastAsia="Times New Roman"/>
          <w:b/>
          <w:color w:val="000000" w:themeColor="text1"/>
          <w:szCs w:val="24"/>
          <w:u w:val="single"/>
          <w:lang w:eastAsia="es-CO"/>
        </w:rPr>
        <w:t>Estatuto Tributario</w:t>
      </w:r>
      <w:r w:rsidRPr="00FA73E5">
        <w:rPr>
          <w:rFonts w:eastAsia="Times New Roman"/>
          <w:b/>
          <w:color w:val="000000" w:themeColor="text1"/>
          <w:szCs w:val="24"/>
          <w:shd w:val="clear" w:color="auto" w:fill="FFFFFF"/>
          <w:lang w:eastAsia="es-CO"/>
        </w:rPr>
        <w:t>.</w:t>
      </w:r>
    </w:p>
    <w:p w:rsidR="006B71D8" w:rsidRPr="00FA73E5" w:rsidRDefault="006B71D8" w:rsidP="00FA73E5">
      <w:pPr>
        <w:shd w:val="clear" w:color="auto" w:fill="FFFFFF"/>
        <w:spacing w:line="240" w:lineRule="auto"/>
        <w:rPr>
          <w:rFonts w:eastAsia="Times New Roman"/>
          <w:b/>
          <w:color w:val="000000" w:themeColor="text1"/>
          <w:szCs w:val="24"/>
          <w:lang w:eastAsia="es-CO"/>
        </w:rPr>
      </w:pPr>
      <w:r w:rsidRPr="00FA73E5">
        <w:rPr>
          <w:rFonts w:eastAsia="Times New Roman"/>
          <w:b/>
          <w:color w:val="000000" w:themeColor="text1"/>
          <w:szCs w:val="24"/>
          <w:shd w:val="clear" w:color="auto" w:fill="FFFFFF"/>
          <w:lang w:eastAsia="es-CO"/>
        </w:rPr>
        <w:t>(Subrayado fuera del texto)</w:t>
      </w:r>
    </w:p>
    <w:p w:rsidR="006B71D8" w:rsidRPr="006B71D8" w:rsidRDefault="006B71D8" w:rsidP="00FA73E5">
      <w:pPr>
        <w:shd w:val="clear" w:color="auto" w:fill="FFFFFF"/>
        <w:spacing w:line="240" w:lineRule="auto"/>
        <w:rPr>
          <w:rFonts w:eastAsia="Times New Roman"/>
          <w:color w:val="000000" w:themeColor="text1"/>
          <w:szCs w:val="24"/>
          <w:lang w:eastAsia="es-CO"/>
        </w:rPr>
      </w:pPr>
      <w:r w:rsidRPr="006B71D8">
        <w:rPr>
          <w:rFonts w:eastAsia="Times New Roman"/>
          <w:color w:val="000000" w:themeColor="text1"/>
          <w:szCs w:val="24"/>
          <w:shd w:val="clear" w:color="auto" w:fill="FFFFFF"/>
          <w:lang w:eastAsia="es-CO"/>
        </w:rPr>
        <w:t> </w:t>
      </w:r>
    </w:p>
    <w:p w:rsidR="006B71D8" w:rsidRPr="00FA73E5" w:rsidRDefault="006B71D8" w:rsidP="00FA73E5">
      <w:pPr>
        <w:shd w:val="clear" w:color="auto" w:fill="FFFFFF"/>
        <w:spacing w:line="240" w:lineRule="auto"/>
        <w:rPr>
          <w:rFonts w:eastAsia="Times New Roman"/>
          <w:b/>
          <w:color w:val="000000" w:themeColor="text1"/>
          <w:szCs w:val="24"/>
          <w:lang w:eastAsia="es-CO"/>
        </w:rPr>
      </w:pPr>
      <w:r w:rsidRPr="00FA73E5">
        <w:rPr>
          <w:rFonts w:eastAsia="Times New Roman"/>
          <w:b/>
          <w:color w:val="000000" w:themeColor="text1"/>
          <w:szCs w:val="24"/>
          <w:shd w:val="clear" w:color="auto" w:fill="FFFFFF"/>
          <w:lang w:eastAsia="es-CO"/>
        </w:rPr>
        <w:t xml:space="preserve">Es importante reiterar que sólo es posible hacerlo en el sistema ordinario de depuración de la renta, pues tratándose el Impuesto Mínimo Alternativo (IMAN) el </w:t>
      </w:r>
      <w:hyperlink r:id="rId26" w:tooltip="Estatuto Tributario CETA" w:history="1">
        <w:r w:rsidRPr="00FA73E5">
          <w:rPr>
            <w:rFonts w:eastAsia="Times New Roman"/>
            <w:b/>
            <w:color w:val="000000" w:themeColor="text1"/>
            <w:szCs w:val="24"/>
            <w:u w:val="single"/>
            <w:shd w:val="clear" w:color="auto" w:fill="FFFFFF"/>
            <w:lang w:eastAsia="es-CO"/>
          </w:rPr>
          <w:t>artículo 332</w:t>
        </w:r>
      </w:hyperlink>
      <w:r w:rsidRPr="00FA73E5">
        <w:rPr>
          <w:rFonts w:eastAsia="Times New Roman"/>
          <w:b/>
          <w:color w:val="000000" w:themeColor="text1"/>
          <w:szCs w:val="24"/>
          <w:shd w:val="clear" w:color="auto" w:fill="FFFFFF"/>
          <w:lang w:eastAsia="es-CO"/>
        </w:rPr>
        <w:t xml:space="preserve"> del </w:t>
      </w:r>
      <w:r w:rsidRPr="00FA73E5">
        <w:rPr>
          <w:rFonts w:eastAsia="Times New Roman"/>
          <w:b/>
          <w:color w:val="000000" w:themeColor="text1"/>
          <w:szCs w:val="24"/>
          <w:lang w:eastAsia="es-CO"/>
        </w:rPr>
        <w:t>Estatuto Tributario</w:t>
      </w:r>
      <w:r w:rsidRPr="00FA73E5">
        <w:rPr>
          <w:rFonts w:eastAsia="Times New Roman"/>
          <w:b/>
          <w:color w:val="000000" w:themeColor="text1"/>
          <w:szCs w:val="24"/>
          <w:shd w:val="clear" w:color="auto" w:fill="FFFFFF"/>
          <w:lang w:eastAsia="es-CO"/>
        </w:rPr>
        <w:t xml:space="preserve"> no se encuentra expresamente autorizada su disminución, tal como se ha concluido mediante oficio 001113 del 13 de enero de 2014, del cual remitimos copia para su conocimiento por constituir doctrina vigente sobre el tema.</w:t>
      </w:r>
    </w:p>
    <w:p w:rsidR="006B71D8" w:rsidRPr="00FA73E5" w:rsidRDefault="006B71D8" w:rsidP="00FA73E5">
      <w:pPr>
        <w:shd w:val="clear" w:color="auto" w:fill="FFFFFF"/>
        <w:spacing w:line="240" w:lineRule="auto"/>
        <w:rPr>
          <w:rFonts w:eastAsia="Times New Roman"/>
          <w:b/>
          <w:color w:val="000000" w:themeColor="text1"/>
          <w:szCs w:val="24"/>
          <w:lang w:eastAsia="es-CO"/>
        </w:rPr>
      </w:pPr>
      <w:r w:rsidRPr="00FA73E5">
        <w:rPr>
          <w:rFonts w:eastAsia="Times New Roman"/>
          <w:b/>
          <w:color w:val="000000" w:themeColor="text1"/>
          <w:szCs w:val="24"/>
          <w:lang w:eastAsia="es-CO"/>
        </w:rPr>
        <w:t> </w:t>
      </w:r>
    </w:p>
    <w:p w:rsidR="006B71D8" w:rsidRPr="006B71D8" w:rsidRDefault="006B71D8" w:rsidP="00FA73E5">
      <w:pPr>
        <w:shd w:val="clear" w:color="auto" w:fill="FFFFFF"/>
        <w:spacing w:line="240" w:lineRule="auto"/>
        <w:rPr>
          <w:rFonts w:eastAsia="Times New Roman"/>
          <w:color w:val="000000" w:themeColor="text1"/>
          <w:szCs w:val="24"/>
          <w:lang w:eastAsia="es-CO"/>
        </w:rPr>
      </w:pPr>
      <w:r w:rsidRPr="006B71D8">
        <w:rPr>
          <w:rFonts w:eastAsia="Times New Roman"/>
          <w:color w:val="000000" w:themeColor="text1"/>
          <w:szCs w:val="24"/>
          <w:lang w:eastAsia="es-CO"/>
        </w:rPr>
        <w:t>En los anteriores términos se resuelve su consulta.</w:t>
      </w:r>
    </w:p>
    <w:p w:rsidR="006B71D8" w:rsidRPr="006B71D8" w:rsidRDefault="006B71D8" w:rsidP="00FA73E5">
      <w:pPr>
        <w:shd w:val="clear" w:color="auto" w:fill="FFFFFF"/>
        <w:spacing w:line="240" w:lineRule="auto"/>
        <w:rPr>
          <w:rFonts w:eastAsia="Times New Roman"/>
          <w:color w:val="000000" w:themeColor="text1"/>
          <w:szCs w:val="24"/>
          <w:lang w:eastAsia="es-CO"/>
        </w:rPr>
      </w:pPr>
      <w:r w:rsidRPr="006B71D8">
        <w:rPr>
          <w:rFonts w:eastAsia="Times New Roman"/>
          <w:color w:val="000000" w:themeColor="text1"/>
          <w:szCs w:val="24"/>
          <w:lang w:eastAsia="es-CO"/>
        </w:rPr>
        <w:t> </w:t>
      </w:r>
    </w:p>
    <w:p w:rsidR="006B71D8" w:rsidRPr="006B71D8" w:rsidRDefault="006B71D8" w:rsidP="00FA73E5">
      <w:pPr>
        <w:shd w:val="clear" w:color="auto" w:fill="FFFFFF"/>
        <w:spacing w:line="240" w:lineRule="auto"/>
        <w:rPr>
          <w:rFonts w:eastAsia="Times New Roman"/>
          <w:color w:val="000000" w:themeColor="text1"/>
          <w:szCs w:val="24"/>
          <w:lang w:eastAsia="es-CO"/>
        </w:rPr>
      </w:pPr>
      <w:r w:rsidRPr="006B71D8">
        <w:rPr>
          <w:rFonts w:eastAsia="Times New Roman"/>
          <w:color w:val="000000" w:themeColor="text1"/>
          <w:szCs w:val="24"/>
          <w:lang w:eastAsia="es-CO"/>
        </w:rPr>
        <w:t> </w:t>
      </w:r>
    </w:p>
    <w:p w:rsidR="006B71D8" w:rsidRPr="006B71D8" w:rsidRDefault="006B71D8" w:rsidP="00FA73E5">
      <w:pPr>
        <w:shd w:val="clear" w:color="auto" w:fill="FFFFFF"/>
        <w:spacing w:line="240" w:lineRule="auto"/>
        <w:rPr>
          <w:rFonts w:eastAsia="Times New Roman"/>
          <w:color w:val="000000" w:themeColor="text1"/>
          <w:szCs w:val="24"/>
          <w:lang w:eastAsia="es-CO"/>
        </w:rPr>
      </w:pPr>
      <w:r w:rsidRPr="006B71D8">
        <w:rPr>
          <w:rFonts w:eastAsia="Times New Roman"/>
          <w:color w:val="000000" w:themeColor="text1"/>
          <w:szCs w:val="24"/>
          <w:lang w:eastAsia="es-CO"/>
        </w:rPr>
        <w:t>Atentamente,</w:t>
      </w:r>
      <w:bookmarkStart w:id="0" w:name="_GoBack"/>
      <w:bookmarkEnd w:id="0"/>
    </w:p>
    <w:p w:rsidR="006B71D8" w:rsidRPr="006B71D8" w:rsidRDefault="006B71D8" w:rsidP="00FA73E5">
      <w:pPr>
        <w:shd w:val="clear" w:color="auto" w:fill="FFFFFF"/>
        <w:spacing w:line="240" w:lineRule="auto"/>
        <w:rPr>
          <w:rFonts w:eastAsia="Times New Roman"/>
          <w:color w:val="000000" w:themeColor="text1"/>
          <w:szCs w:val="24"/>
          <w:lang w:eastAsia="es-CO"/>
        </w:rPr>
      </w:pPr>
      <w:r w:rsidRPr="006B71D8">
        <w:rPr>
          <w:rFonts w:eastAsia="Times New Roman"/>
          <w:color w:val="000000" w:themeColor="text1"/>
          <w:szCs w:val="24"/>
          <w:lang w:eastAsia="es-CO"/>
        </w:rPr>
        <w:t> </w:t>
      </w:r>
    </w:p>
    <w:p w:rsidR="006B71D8" w:rsidRPr="006B71D8" w:rsidRDefault="006B71D8" w:rsidP="00FA73E5">
      <w:pPr>
        <w:shd w:val="clear" w:color="auto" w:fill="FFFFFF"/>
        <w:spacing w:line="240" w:lineRule="auto"/>
        <w:rPr>
          <w:rFonts w:eastAsia="Times New Roman"/>
          <w:color w:val="000000" w:themeColor="text1"/>
          <w:szCs w:val="24"/>
          <w:lang w:eastAsia="es-CO"/>
        </w:rPr>
      </w:pPr>
      <w:r w:rsidRPr="006B71D8">
        <w:rPr>
          <w:rFonts w:eastAsia="Times New Roman"/>
          <w:color w:val="000000" w:themeColor="text1"/>
          <w:szCs w:val="24"/>
          <w:lang w:eastAsia="es-CO"/>
        </w:rPr>
        <w:t> </w:t>
      </w:r>
    </w:p>
    <w:p w:rsidR="006B71D8" w:rsidRPr="006B71D8" w:rsidRDefault="006B71D8" w:rsidP="00FA73E5">
      <w:pPr>
        <w:shd w:val="clear" w:color="auto" w:fill="FFFFFF"/>
        <w:spacing w:line="240" w:lineRule="auto"/>
        <w:rPr>
          <w:rFonts w:eastAsia="Times New Roman"/>
          <w:color w:val="000000" w:themeColor="text1"/>
          <w:szCs w:val="24"/>
          <w:lang w:eastAsia="es-CO"/>
        </w:rPr>
      </w:pPr>
      <w:r w:rsidRPr="006B71D8">
        <w:rPr>
          <w:rFonts w:eastAsia="Times New Roman"/>
          <w:b/>
          <w:color w:val="000000" w:themeColor="text1"/>
          <w:szCs w:val="24"/>
          <w:lang w:eastAsia="es-CO"/>
        </w:rPr>
        <w:t>YUMER YOEL AGUILAR VARGAS</w:t>
      </w:r>
    </w:p>
    <w:p w:rsidR="006B71D8" w:rsidRPr="006B71D8" w:rsidRDefault="006B71D8" w:rsidP="00FA73E5">
      <w:pPr>
        <w:shd w:val="clear" w:color="auto" w:fill="FFFFFF"/>
        <w:spacing w:line="240" w:lineRule="auto"/>
        <w:rPr>
          <w:rFonts w:eastAsia="Times New Roman"/>
          <w:color w:val="000000" w:themeColor="text1"/>
          <w:szCs w:val="24"/>
          <w:lang w:eastAsia="es-CO"/>
        </w:rPr>
      </w:pPr>
      <w:r w:rsidRPr="006B71D8">
        <w:rPr>
          <w:rFonts w:eastAsia="Times New Roman"/>
          <w:bCs/>
          <w:color w:val="000000" w:themeColor="text1"/>
          <w:szCs w:val="24"/>
          <w:lang w:eastAsia="es-CO"/>
        </w:rPr>
        <w:t>Subdirector de Gestión Normativa y Doctrina</w:t>
      </w:r>
    </w:p>
    <w:p w:rsidR="00B51D80" w:rsidRPr="006B71D8" w:rsidRDefault="00B51D80" w:rsidP="00FA73E5">
      <w:pPr>
        <w:spacing w:line="240" w:lineRule="auto"/>
        <w:rPr>
          <w:color w:val="000000" w:themeColor="text1"/>
          <w:szCs w:val="24"/>
        </w:rPr>
      </w:pPr>
    </w:p>
    <w:p w:rsidR="006B71D8" w:rsidRPr="006B71D8" w:rsidRDefault="006B71D8" w:rsidP="00FA73E5">
      <w:pPr>
        <w:spacing w:line="240" w:lineRule="auto"/>
        <w:rPr>
          <w:color w:val="000000" w:themeColor="text1"/>
          <w:szCs w:val="24"/>
        </w:rPr>
      </w:pPr>
    </w:p>
    <w:sectPr w:rsidR="006B71D8" w:rsidRPr="006B71D8"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456A2D"/>
    <w:multiLevelType w:val="hybridMultilevel"/>
    <w:tmpl w:val="A07C393A"/>
    <w:lvl w:ilvl="0" w:tplc="3B7448F8">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1D8"/>
    <w:rsid w:val="006B71D8"/>
    <w:rsid w:val="00A067C7"/>
    <w:rsid w:val="00B51D80"/>
    <w:rsid w:val="00FA73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941375-9FD6-4F48-8B14-3F77BE51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7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74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411" TargetMode="External"/><Relationship Id="rId13" Type="http://schemas.openxmlformats.org/officeDocument/2006/relationships/hyperlink" Target="http://www.ceta.org.co/html/vista_de_un_articulo.asp?Norma=410" TargetMode="External"/><Relationship Id="rId18" Type="http://schemas.openxmlformats.org/officeDocument/2006/relationships/hyperlink" Target="http://www.ceta.org.co/html/vista_de_un_articulo.asp?Norma=155" TargetMode="External"/><Relationship Id="rId26" Type="http://schemas.openxmlformats.org/officeDocument/2006/relationships/hyperlink" Target="http://www.ceta.org.co/html/vista_de_un_articulo.asp?Norma=411" TargetMode="External"/><Relationship Id="rId3" Type="http://schemas.openxmlformats.org/officeDocument/2006/relationships/settings" Target="settings.xml"/><Relationship Id="rId21" Type="http://schemas.openxmlformats.org/officeDocument/2006/relationships/hyperlink" Target="http://www.ceta.org.co/html/vista_de_un_articulo.asp?Norma=480" TargetMode="External"/><Relationship Id="rId7" Type="http://schemas.openxmlformats.org/officeDocument/2006/relationships/hyperlink" Target="http://www.ceta.org.co/html/vista_de_un_articulo.asp?Norma=410" TargetMode="External"/><Relationship Id="rId12" Type="http://schemas.openxmlformats.org/officeDocument/2006/relationships/hyperlink" Target="http://www.ceta.org.co/html/vista_de_un_articulo.asp?Norma=411" TargetMode="External"/><Relationship Id="rId17" Type="http://schemas.openxmlformats.org/officeDocument/2006/relationships/hyperlink" Target="http://www.ceta.org.co/html/vista_de_un_articulo.asp?Norma=411" TargetMode="External"/><Relationship Id="rId25" Type="http://schemas.openxmlformats.org/officeDocument/2006/relationships/hyperlink" Target="http://www.ceta.org.co/html/vista_de_un_articulo.asp?Norma=480" TargetMode="External"/><Relationship Id="rId2" Type="http://schemas.openxmlformats.org/officeDocument/2006/relationships/styles" Target="styles.xml"/><Relationship Id="rId16" Type="http://schemas.openxmlformats.org/officeDocument/2006/relationships/hyperlink" Target="http://www.ceta.org.co/html/vista_de_un_articulo.asp?Norma=411" TargetMode="External"/><Relationship Id="rId20" Type="http://schemas.openxmlformats.org/officeDocument/2006/relationships/hyperlink" Target="http://www.ceta.org.co/html/vista_de_un_articulo.asp?Norma=411" TargetMode="External"/><Relationship Id="rId1" Type="http://schemas.openxmlformats.org/officeDocument/2006/relationships/numbering" Target="numbering.xml"/><Relationship Id="rId6" Type="http://schemas.openxmlformats.org/officeDocument/2006/relationships/hyperlink" Target="http://www.ceta.org.co/html/vista_de_un_articulo.asp?Norma=408" TargetMode="External"/><Relationship Id="rId11" Type="http://schemas.openxmlformats.org/officeDocument/2006/relationships/hyperlink" Target="http://www.ceta.org.co/html/vista_de_un_articulo.asp?Norma=408" TargetMode="External"/><Relationship Id="rId24" Type="http://schemas.openxmlformats.org/officeDocument/2006/relationships/hyperlink" Target="http://www.ceta.org.co/html/vista_de_un_articulo.asp?Norma=272" TargetMode="External"/><Relationship Id="rId5" Type="http://schemas.openxmlformats.org/officeDocument/2006/relationships/hyperlink" Target="http://www.ceta.org.co/html/vista_de_un_articulo.asp?Norma=272" TargetMode="External"/><Relationship Id="rId15" Type="http://schemas.openxmlformats.org/officeDocument/2006/relationships/hyperlink" Target="http://www.ceta.org.co/html/vista_de_un_articulo.asp?Norma=408" TargetMode="External"/><Relationship Id="rId23" Type="http://schemas.openxmlformats.org/officeDocument/2006/relationships/hyperlink" Target="http://www.ceta.org.co/html/vista_de_un_articulo.asp?Norma=476" TargetMode="External"/><Relationship Id="rId28" Type="http://schemas.openxmlformats.org/officeDocument/2006/relationships/theme" Target="theme/theme1.xml"/><Relationship Id="rId10" Type="http://schemas.openxmlformats.org/officeDocument/2006/relationships/hyperlink" Target="http://www.ceta.org.co/html/vista_de_un_articulo.asp?Norma=408" TargetMode="External"/><Relationship Id="rId19" Type="http://schemas.openxmlformats.org/officeDocument/2006/relationships/hyperlink" Target="http://www.ceta.org.co/html/vista_de_un_articulo.asp?Norma=410" TargetMode="External"/><Relationship Id="rId4" Type="http://schemas.openxmlformats.org/officeDocument/2006/relationships/webSettings" Target="webSettings.xml"/><Relationship Id="rId9" Type="http://schemas.openxmlformats.org/officeDocument/2006/relationships/hyperlink" Target="http://www.ceta.org.co/html/vista_de_un_articulo.asp?Norma=408" TargetMode="External"/><Relationship Id="rId14" Type="http://schemas.openxmlformats.org/officeDocument/2006/relationships/hyperlink" Target="http://www.ceta.org.co/html/vista_de_un_articulo.asp?Norma=411" TargetMode="External"/><Relationship Id="rId22" Type="http://schemas.openxmlformats.org/officeDocument/2006/relationships/hyperlink" Target="http://www.ceta.org.co/html/vista_de_un_articulo.asp?Norma=272"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2493</Words>
  <Characters>13713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CNETCO</cp:lastModifiedBy>
  <cp:revision>2</cp:revision>
  <dcterms:created xsi:type="dcterms:W3CDTF">2015-01-29T02:27:00Z</dcterms:created>
  <dcterms:modified xsi:type="dcterms:W3CDTF">2015-02-15T22:17:00Z</dcterms:modified>
</cp:coreProperties>
</file>